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018AE" w14:textId="081B30DD" w:rsidR="009E68D5" w:rsidRDefault="009E68D5" w:rsidP="009E68D5">
      <w:pPr>
        <w:pStyle w:val="Heading1"/>
      </w:pPr>
      <w:r>
        <w:t>Introduction</w:t>
      </w:r>
    </w:p>
    <w:p w14:paraId="55FF0CDB" w14:textId="257D22AE" w:rsidR="006D7AF0" w:rsidRDefault="006D7AF0" w:rsidP="006D7AF0">
      <w:pPr>
        <w:pStyle w:val="NormalWeb"/>
      </w:pPr>
      <w:r>
        <w:t>In the current era of the information technology revolution, a profound understanding of computer systems and hardware serves as the essential foundation for almost every aspect of modern life, ranging from business and research to daily personal activities</w:t>
      </w:r>
      <w:r w:rsidR="004F70BC">
        <w:t xml:space="preserve"> </w:t>
      </w:r>
      <w:r w:rsidR="004F70BC">
        <w:fldChar w:fldCharType="begin"/>
      </w:r>
      <w:r w:rsidR="00D60567">
        <w:instrText xml:space="preserve"> ADDIN ZOTERO_ITEM CSL_CITATION {"citationID":"ZqSZSQWd","properties":{"unsorted":false,"formattedCitation":"(Sairmaly, 2023)","plainCitation":"(Sairmaly, 2023)","noteIndex":0},"citationItems":[{"id":329,"uris":["http://zotero.org/users/local/zqnAJ6Wa/items/HGR4ZMTM"],"itemData":{"id":329,"type":"article-journal","abstract":"A country's economic growth is influenced by various factors, including human resource development. High-quality and productive human resources are the main key in promoting sustainable economic growth. Therefore, this study aims to conduct a literature review on education investment, information technology, skills, and productive labour in the context of human capital development and economic growth. The focus of this study is primarily qualitative. Methods for gathering data include paying close attention to detail while viewing and recording data, and then using analytical techniques such as data reduction, visualisation, and inference to draw conclusions. The study arrives at the conclusion that human capital development through investments in education, information technology, skills, and productive labour plays a crucial role in a country's economic growth. For example, investment in quality education provides individuals with knowledge and skills, expands employment opportunities, and increases people's purchasing power.&amp;#x0D;","container-title":"Jurnal Minfo Polgan","DOI":"10.33395/jmp.v12i1.12491","ISSN":"2089-9424","issue":"1","page":"679-693","title":"Human Capital Development and Economic Growth: A Literature Review on Information Technology Investment, Education, Skills, and Productive Labour","volume":"12","author":[{"family":"Sairmaly","given":"Ferly Agustina"}],"issued":{"date-parts":[["2023",6,2]]}}}],"schema":"https://github.com/citation-style-language/schema/raw/master/csl-citation.json"} </w:instrText>
      </w:r>
      <w:r w:rsidR="004F70BC">
        <w:fldChar w:fldCharType="separate"/>
      </w:r>
      <w:r w:rsidR="00D60567">
        <w:rPr>
          <w:noProof/>
        </w:rPr>
        <w:t>(Sairmaly, 2023)</w:t>
      </w:r>
      <w:r w:rsidR="004F70BC">
        <w:fldChar w:fldCharType="end"/>
      </w:r>
      <w:r w:rsidR="00D60567">
        <w:t xml:space="preserve">. </w:t>
      </w:r>
      <w:r>
        <w:t>Informatics education at the junior high school level plays a critical role in honing digital literacy skills early on, effectively preparing students to navigate the challenges of an increasingly evolving digital world. Digital technology proficiency is no longer an elective skill but a fundamental necessity for both students and educators to ensure quality instruction and professional development in a tech-driven society</w:t>
      </w:r>
      <w:r w:rsidR="00D60567">
        <w:t xml:space="preserve"> </w:t>
      </w:r>
      <w:r w:rsidR="00D60567">
        <w:fldChar w:fldCharType="begin"/>
      </w:r>
      <w:r w:rsidR="00D60567">
        <w:instrText xml:space="preserve"> ADDIN ZOTERO_ITEM CSL_CITATION {"citationID":"4msG82MQ","properties":{"unsorted":false,"formattedCitation":"(Yadav, 2024)","plainCitation":"(Yadav, 2024)","noteIndex":0},"citationItems":[{"id":330,"uris":["http://zotero.org/users/local/zqnAJ6Wa/items/YPT6EIQD"],"itemData":{"id":330,"type":"chapter","abstract":"This chapter explores the critical role of digital literacy and technology in modern education, focusing on the integration of Information and Communication Technology (ICT) and digital competencies in teaching and learning. It highlights the necessity for educators to develop digital skills to effectively incorporate technology into their pedagogical practices and enhance educational outcomes. The study emphasizes that digital literacy encompasses not only technical proficiency but also the ability to critically evaluate and use digital tools ethically and creatively. It discusses the challenges faced by educators, including varying levels of digital competency and the need for continuous professional development. Additionally, it examines how digital storytelling and other innovative practices can engage students and improve learning experiences. The chapter concludes by underscoring the importance of a supportive educational environment and ongoing training to ensure that both educators and students thrive in the digital age.","container-title":"Advances in educational marketing, administration, and leadership book series","DOI":"10.4018/979-8-3373-1692-5.ch005","ISBN":"2326-9022","page":"109-134","publisher":"IGI Global","title":"Enhancing Digital Competencies of Teachers","URL":"https://doi.org/10.4018/979-8-3373-1692-5.ch005","author":[{"family":"Yadav","given":"Seema"}],"issued":{"date-parts":[["2024",12,27]]}}}],"schema":"https://github.com/citation-style-language/schema/raw/master/csl-citation.json"} </w:instrText>
      </w:r>
      <w:r w:rsidR="00D60567">
        <w:fldChar w:fldCharType="separate"/>
      </w:r>
      <w:r w:rsidR="00D60567">
        <w:rPr>
          <w:noProof/>
        </w:rPr>
        <w:t>(Yadav, 2024)</w:t>
      </w:r>
      <w:r w:rsidR="00D60567">
        <w:fldChar w:fldCharType="end"/>
      </w:r>
      <w:r>
        <w:t>. Consequently, mastery of hardware concepts is a primary competency within the informatics curriculum that students must achieve to participate effectively in the digital age</w:t>
      </w:r>
      <w:r w:rsidR="00D60567">
        <w:t xml:space="preserve"> </w:t>
      </w:r>
      <w:r w:rsidR="00D60567">
        <w:fldChar w:fldCharType="begin"/>
      </w:r>
      <w:r w:rsidR="00D60567">
        <w:instrText xml:space="preserve"> ADDIN ZOTERO_ITEM CSL_CITATION {"citationID":"d8aXaXVc","properties":{"unsorted":false,"formattedCitation":"(Caspersen et al., 2024)","plainCitation":"(Caspersen et al., 2024)","noteIndex":0},"citationItems":[{"id":331,"uris":["http://zotero.org/users/local/zqnAJ6Wa/items/ZDYFNHC5"],"itemData":{"id":331,"type":"article-journal","abstract":"In today’s world it is crucial that individuals, regardless of their position or daily activities, be digitally skilled. Digital skills sit at the application level, where people must be able to operate, through technological devices and systems, with applications. This happens in a variety of sectors: It could be argued that in today’s world, digital applications are utilized in some capacity across all areas of services, production, and communication. However, it is important to remember that all these artefacts are driven by the scientific discipline of informatics. That is why concepts like data, algorithms, computing machines, programming, communication and coordination have to be part of the standard school education, much like those of force, energy, cell, organism, molecule, etc. are. The practical side, that is the equivalent of the laboratory for traditional sciences, has also to be part of this education. Moreover, digital technology is affecting human society, and it is therefore necessary that all students are aware of the implications that technology, developed on the basis of Informatics principles, can have on human beings and their relations.","container-title":"ACM Inroads","DOI":"10.1145/3696791","ISSN":"2153-2184","issue":"4","page":"74-81","publisher":"Association for Computing Machinery","title":"European Digital Transformation Needs Indicators of Informatics Competence","volume":"15","author":[{"family":"Caspersen","given":"Michael E."},{"family":"Gal‐Ezer","given":"Judith"},{"family":"McGettrick","given":"Andrew"},{"family":"Nardelli","given":"Enrico"}],"issued":{"date-parts":[["2024",11,11]]}}}],"schema":"https://github.com/citation-style-language/schema/raw/master/csl-citation.json"} </w:instrText>
      </w:r>
      <w:r w:rsidR="00D60567">
        <w:fldChar w:fldCharType="separate"/>
      </w:r>
      <w:r w:rsidR="00D60567">
        <w:rPr>
          <w:noProof/>
        </w:rPr>
        <w:t>(Caspersen et al., 2024)</w:t>
      </w:r>
      <w:r w:rsidR="00D60567">
        <w:fldChar w:fldCharType="end"/>
      </w:r>
      <w:r>
        <w:t>. However, teaching these technical concepts requires a structured and innovative approach to ensure that the foundational knowledge is transferred successfully to the younger generation.</w:t>
      </w:r>
    </w:p>
    <w:p w14:paraId="349D1782" w14:textId="1AD97DE2" w:rsidR="006D7AF0" w:rsidRDefault="006D7AF0" w:rsidP="006D7AF0">
      <w:pPr>
        <w:pStyle w:val="NormalWeb"/>
      </w:pPr>
      <w:r>
        <w:t>Despite its importance, computer system material is frequently perceived by students as a difficult, abstract, and dry subject, leading to significant pedagogical challenges in the classroom. Conventional teaching strategies, which are often dominated by the lecture method, tend to create a passive learning environment that lacks engagement and fails to stimulate student interest</w:t>
      </w:r>
      <w:r w:rsidR="00D60567">
        <w:t xml:space="preserve"> </w:t>
      </w:r>
      <w:r w:rsidR="00D60567">
        <w:fldChar w:fldCharType="begin"/>
      </w:r>
      <w:r w:rsidR="00D60567">
        <w:instrText xml:space="preserve"> ADDIN ZOTERO_ITEM CSL_CITATION {"citationID":"rnQDCAii","properties":{"unsorted":false,"formattedCitation":"(Osman et al., 2024)","plainCitation":"(Osman et al., 2024)","noteIndex":0},"citationItems":[{"id":332,"uris":["http://zotero.org/users/local/zqnAJ6Wa/items/QYX6U3TJ"],"itemData":{"id":332,"type":"article-journal","abstract":"Traditional teaching approaches lack engagement, personalization, flexibility, and effective evaluation, thereby limiting learning outcomes. Consequently, these systems face challenges in engaging students, meeting their individual needs, adapting to diverse learning situations, and accurately assessing their competency. Educational board games (EBGs) offer a dynamic and engaging learning experience through play and personalized learning, promising optimal outcomes to overcome these obstacles. The objective of this study is to investigate how usability influences student engagement using the MEEGA+ evaluation approach during EBG play in a Personal Financial Planning course at Universiti Teknologi MARA (UiTM) Cawangan Melaka, Kampus Bandaraya Melaka. This quantitative study involved a self-administered questionnaire and a purposive sample of 200 bachelor’s degree students in the course. PLS-SEM was utilized to assess the model and hypothesized relationships. The operability and accessibility of educational games significantly enhanced student engagement, underscoring the utility of board games for learning through play. Usability, experience, and engagement should be integral considerations in instructional game design. The MEEGA+ assessment model can be applied to evaluate game-based learning across various EBGs. Board games have the potential to enhance educational outcomes, underscoring the necessity for further research in game-based learning. The study also suggests that the MEEGA assessment model can assist designers and educators in developing effective game-based learning experiences.","container-title":"Information Management and Business Review","DOI":"10.22610/imbr.v16i1(i).3662","ISSN":"2220-3796","page":"76-85","publisher":"International Foundation for Research and Development","title":"Exploring the Usability and Engagement of Students in an Educational Board Game on Personal Financial Planning","volume":"16","author":[{"family":"Osman","given":"Idris"},{"family":"Taib","given":"Norraeffa Md"},{"family":"Yazid","given":"Zarinah Abu"},{"family":"Daud","given":"Shahreena"},{"family":"Othman","given":"Mohd Zailani"}],"issued":{"date-parts":[["2024",3,15]]}}}],"schema":"https://github.com/citation-style-language/schema/raw/master/csl-citation.json"} </w:instrText>
      </w:r>
      <w:r w:rsidR="00D60567">
        <w:fldChar w:fldCharType="separate"/>
      </w:r>
      <w:r w:rsidR="00D60567">
        <w:rPr>
          <w:noProof/>
        </w:rPr>
        <w:t>(Osman et al., 2024)</w:t>
      </w:r>
      <w:r w:rsidR="00D60567">
        <w:fldChar w:fldCharType="end"/>
      </w:r>
      <w:r w:rsidR="00D60567">
        <w:t xml:space="preserve">. </w:t>
      </w:r>
      <w:r>
        <w:t>This lack of innovation in teaching methods often results in a significant decline in student learning motivation and participation. Research indicates that without effective and creative learning models, students struggle to grasp basic computer principles and their practical applications</w:t>
      </w:r>
      <w:r w:rsidR="00D60567">
        <w:t xml:space="preserve"> </w:t>
      </w:r>
      <w:r w:rsidR="00D60567">
        <w:fldChar w:fldCharType="begin"/>
      </w:r>
      <w:r w:rsidR="00D60567">
        <w:instrText xml:space="preserve"> ADDIN ZOTERO_ITEM CSL_CITATION {"citationID":"9oxX5zki","properties":{"unsorted":false,"formattedCitation":"(Belsam, 2017)","plainCitation":"(Belsam, 2017)","noteIndex":0},"citationItems":[{"id":333,"uris":["http://zotero.org/users/local/zqnAJ6Wa/items/NZNFB9SM"],"itemData":{"id":333,"type":"article-journal","abstract":"This paper investigated the challenges presented by computer programming (sequential/traditional, concurrent and parallel) for novice programmers and developers. The researcher involved Higher Education in Computer Science students learning programming at multiple levels, as they could well represent beginning programmers, who would struggle in successfully achieving a running program due to the complexity of this theoretical process, which has no similar real-life representation. The paper explored the difficulties faced by students in understanding this challenging, yet fundamental, subject of all Computer Science/Computing degree programmes, and focused on the advantages of visualization techniques to facilitate the learning of computer programming, with recommendations on effective computer-based simulated platforms to achieve this visualization. The paper recommended the application of virtual world technologies, such as ‘Second Life’, to achieve the visualization required to facilitate the understanding and learning of computer programming. The paper demonstrated extensive evidence on the advantages of these technologies to achieve program visualization, and how they facilitated enhanced learning of the programming process. The paper also addressed the benefits of collaboration and experimentation, which are ideal for learning computer programming, and how these aspects are strongly supported in virtual worlds.","container-title":"International Journal of Advanced Computer Science and Applications","DOI":"10.14569/ijacsa.2017.080848","ISSN":"2156-5570","issue":"8","publisher":"Science and Information Organization","title":"Visualizing Computer Programming in a Computer-based Simulated Environment","URL":"https://doi.org/10.14569/ijacsa.2017.080848","volume":"8","author":[{"literal":"Belsam"}],"issued":{"date-parts":[["2017",1,1]]}}}],"schema":"https://github.com/citation-style-language/schema/raw/master/csl-citation.json"} </w:instrText>
      </w:r>
      <w:r w:rsidR="00D60567">
        <w:fldChar w:fldCharType="separate"/>
      </w:r>
      <w:r w:rsidR="00D60567">
        <w:rPr>
          <w:noProof/>
        </w:rPr>
        <w:t>(Belsam, 2017)</w:t>
      </w:r>
      <w:r w:rsidR="00D60567">
        <w:fldChar w:fldCharType="end"/>
      </w:r>
      <w:r>
        <w:t>. Therefore, there is an urgent need to transition from traditional teacher-centered approaches toward more interactive and innovative strategies that can simplify complex technical concepts.</w:t>
      </w:r>
    </w:p>
    <w:p w14:paraId="099BA9ED" w14:textId="1A5F6DAC" w:rsidR="006D7AF0" w:rsidRDefault="006D7AF0" w:rsidP="006D7AF0">
      <w:pPr>
        <w:pStyle w:val="NormalWeb"/>
      </w:pPr>
      <w:r>
        <w:t>Digital comics have emerged as a promising solution to these educational hurdles by combining visual narratives, characters, and humor to deliver instructional content</w:t>
      </w:r>
      <w:r w:rsidR="00D60567">
        <w:t xml:space="preserve"> </w:t>
      </w:r>
      <w:r w:rsidR="00D60567">
        <w:fldChar w:fldCharType="begin"/>
      </w:r>
      <w:r w:rsidR="00D60567">
        <w:instrText xml:space="preserve"> ADDIN ZOTERO_ITEM CSL_CITATION {"citationID":"8iM0p372","properties":{"unsorted":false,"formattedCitation":"(Huang et al., 2024)","plainCitation":"(Huang et al., 2024)","noteIndex":0},"citationItems":[{"id":334,"uris":["http://zotero.org/users/local/zqnAJ6Wa/items/MRKMACLW"],"itemData":{"id":334,"type":"article-journal","abstract":"Comics can improve the experience of educating by making learning more attractive and accessibility. It is important to understand the relationship between comics and education, advancing theoretical knowledge and practical applications of educational research. The objective of this study was to conduct a thematic review on the utilization of comics in education from 2019 to 2023. By using ATLAS.ti 23, a thematic review was composed to examine 33 pertinent articles. Quantitative analysis revealed a growing academic interest in the field, while qualitative analysis identified five main themes: (1) the educational potential of comics, (2) multidisciplinary approaches, (3) science communication and public engagement, (4) promoting equity and inclusion, and (5) technology integration and comics creation. These themes highlight the effectiveness of comics in increasing student engagement, simplifying complex scientific concepts, and promoting educational equity. Although there are these encouraging findings, the study also points to the gaps in actual implementation and evaluation, emphasizing the need for further research. The conceptual framework provides guidance for future research and new direction for researchers and policymakers to utilize comics to promote more inclusive and innovative educational practices. This paper contributes to a deeper understanding of the dynamic interaction between comics and education and provides a framework to guide the future research and practice.","container-title":"International Journal of Academic Research in Progressive Education and Development","DOI":"10.6007/ijarped/v13-i3/22072","ISSN":"2226-6348","issue":"3","title":"Applying Comics as Learning Tools: A Thematic Review","URL":"https://doi.org/10.6007/ijarped/v13-i3/22072","volume":"13","author":[{"family":"Huang","given":"Yihan"},{"family":"Rahman","given":"A."},{"family":"Yahaya","given":"Mohd Faiz","dropping-particle":"bin"}],"issued":{"date-parts":[["2024",7,29]]}}}],"schema":"https://github.com/citation-style-language/schema/raw/master/csl-citation.json"} </w:instrText>
      </w:r>
      <w:r w:rsidR="00D60567">
        <w:fldChar w:fldCharType="separate"/>
      </w:r>
      <w:r w:rsidR="00D60567">
        <w:rPr>
          <w:noProof/>
        </w:rPr>
        <w:t>(Huang et al., 2024)</w:t>
      </w:r>
      <w:r w:rsidR="00D60567">
        <w:fldChar w:fldCharType="end"/>
      </w:r>
      <w:r>
        <w:t>. As a visual communication medium, comics are uniquely capable of transforming abstract technical information into a more concrete and accessible format through sequential panels and dialogue balloons. The integration of storytelling within digital comics helps capture students' attention and facilitates a more enjoyable reading experience compared to standard textbooks</w:t>
      </w:r>
      <w:r w:rsidR="00D60567">
        <w:t xml:space="preserve"> </w:t>
      </w:r>
      <w:r w:rsidR="00D60567">
        <w:fldChar w:fldCharType="begin"/>
      </w:r>
      <w:r w:rsidR="00D60567">
        <w:instrText xml:space="preserve"> ADDIN ZOTERO_ITEM CSL_CITATION {"citationID":"2i70UGOL","properties":{"unsorted":false,"formattedCitation":"(Rutta et al., 2021)","plainCitation":"(Rutta et al., 2021)","noteIndex":0},"citationItems":[{"id":335,"uris":["http://zotero.org/users/local/zqnAJ6Wa/items/LRW7ACMQ"],"itemData":{"id":335,"type":"article-journal","abstract":"This work explores how comic-based digital storytelling can support children and teachers in combining foreign language and content teaching in the Content and Language Integrated Learning (CLIL) framework. In particular, we focus on investigating three specific aspects: (1) the use of digital storytelling in terms of collaboration, engagement and ease of use, (2) the adoption of comic-based digital storytelling in the CLIL framework, and (3) the benefits and limitations in using digital storytelling in comparison to a paper-based version. In order to investigate these aspects, we develop a case study in a primary school in Italy. A class of 18 children and 2 teachers used a digital tool, named ComicsCLIL, with the aim of creating digital narratives in the CLIL framework. The results provide some evidences that comicbased digital storytelling can be a beneficial educational tool for approaching CLIL lessons. It emerged, in fact, that digital storytelling, as supported by ComicsCLIL, can facilitate this practice by being engaging, easy to use, fully educational while considering the collaborative aspect.","container-title":"Educational Media International","DOI":"10.1080/09523987.2021.1908499","ISSN":"0952-3987","issue":"1","page":"21-36","publisher":"Routledge","title":"Comic-based Digital Storytelling for Content and Language Integrated Learning","volume":"58","author":[{"family":"Rutta","given":"Carolina Beniamina"},{"family":"Schiavo","given":"Gianluca"},{"family":"Zancanaro","given":"Massimo"},{"family":"Rubegni","given":"Elisa"}],"issued":{"date-parts":[["2021",1,2]]}}}],"schema":"https://github.com/citation-style-language/schema/raw/master/csl-citation.json"} </w:instrText>
      </w:r>
      <w:r w:rsidR="00D60567">
        <w:fldChar w:fldCharType="separate"/>
      </w:r>
      <w:r w:rsidR="00D60567">
        <w:rPr>
          <w:noProof/>
        </w:rPr>
        <w:t>(Rutta et al., 2021)</w:t>
      </w:r>
      <w:r w:rsidR="00D60567">
        <w:fldChar w:fldCharType="end"/>
      </w:r>
      <w:r>
        <w:t>. Previous studies have shown that comic-based media can effectively bridge the gap between serious learning and entertaining engagement, making it an ideal tool for secondary education</w:t>
      </w:r>
      <w:r w:rsidR="00D60567">
        <w:t xml:space="preserve"> </w:t>
      </w:r>
      <w:r w:rsidR="00D60567">
        <w:fldChar w:fldCharType="begin"/>
      </w:r>
      <w:r w:rsidR="00D60567">
        <w:instrText xml:space="preserve"> ADDIN ZOTERO_ITEM CSL_CITATION {"citationID":"LxT5tW2U","properties":{"unsorted":false,"formattedCitation":"(Granero\\uc0\\u8208{}Molina &amp; Cadorna, 2025; Sarris, 2025)","plainCitation":"(Granero‐Molina &amp; Cadorna, 2025; Sarris, 2025)","noteIndex":0},"citationItems":[{"id":336,"uris":["http://zotero.org/users/local/zqnAJ6Wa/items/7FXQFXDW"],"itemData":{"id":336,"type":"article-journal","abstract":"Developing instructional materials that simultaneously enhance comprehension, stimulate interest, and foster skill acquisition is necessary to promote holistic student learning outcomes. This study developed comic-based learning materials and determined their effectiveness in enhancing learning outcomes. The study employed a combination of the developmental research and experimental research designs. The comic-based instructional materials were developed, and the quality of the materials, their acceptability to teachers, and the materials’ effectiveness in enhancing students' understanding, attitude, and skills in Physics were determined. Similarly, the experiences of students using the materials were explored. Data were collected from all the STEM students and Physics teachers using evaluation instruments, and interview guides. These data were analyzed using frequency, percentage, mean, t-test, and thematic analysis. Findings revealed that the developed comics met the quality criteria regarding content, format, presentation, organization, and accuracy. It is highly acceptable to teachers for use as a learning material. Moreover, the developed comics significantly enhanced students' understanding of the topic, improved their attitude towards Physics, and effectively developed essential learning competencies required in the subject. The students gave positive feedback about the developed materials. The developed comics proved to be a high-quality instructional material that significantly improved students’ understanding, attitudes, and competencies in Physics. The study recommended encouraging the use of comics as a teaching and learning tool in Physics and exploring their potential application to other challenging topics.","container-title":"International Journal of Learning Teaching and Educational Research","DOI":"10.26803/ijlter.24.11.9","ISSN":"1694-2116","issue":"11","page":"185-204","publisher":"Tresorix Ltd","title":"Enhancing Filipino Students’ Learning Outcomes in Physics Using Comic-Based Learning Materials","volume":"24","author":[{"family":"Granero‐Molina","given":"José"},{"family":"Cadorna","given":"Edelyn A."}],"issued":{"date-parts":[["2025",11,4]]}}},{"id":337,"uris":["http://zotero.org/users/local/zqnAJ6Wa/items/UTS4JBHP"],"itemData":{"id":337,"type":"article-journal","abstract":"This paper explores powerful ways that comics can promote learning. The introduction offers context about the history of comics. It shows how comics transitioned from a form of entertainment to a tool that enhances academic success. The section on comics as learning tools discusses their general benefits, the impact of digital comics, and their subject-specific applications in science and math. The paper also examines areas for further research, such as creating comics to improve learning and using them collaboratively in classrooms. Overall, comics can bridge disciplines and make learning accessible to diverse student populations. This paper therefore advocates for exploring the full potential of comics to help students thrive.","DOI":"10.31219/osf.io/vycbu","title":"Beyond the Panels: Comics as Tools for Learning","URL":"https://doi.org/10.31219/osf.io/vycbu","author":[{"family":"Sarris","given":"Konstantine"}],"issued":{"date-parts":[["2025",1,6]]}}}],"schema":"https://github.com/citation-style-language/schema/raw/master/csl-citation.json"} </w:instrText>
      </w:r>
      <w:r w:rsidR="00D60567">
        <w:fldChar w:fldCharType="separate"/>
      </w:r>
      <w:r w:rsidR="00D60567" w:rsidRPr="00D60567">
        <w:rPr>
          <w:lang w:val="en-US"/>
        </w:rPr>
        <w:t>(Granero‐Molina &amp; Cadorna, 2025; Sarris, 2025)</w:t>
      </w:r>
      <w:r w:rsidR="00D60567">
        <w:fldChar w:fldCharType="end"/>
      </w:r>
      <w:r>
        <w:t>. By leveraging visual appeal and a structured narrative, digital comics provide a relatable context for students, thereby reducing the cognitive load required to understand complex informatics topics.</w:t>
      </w:r>
    </w:p>
    <w:p w14:paraId="33D29874" w14:textId="5CE6ED15" w:rsidR="006D7AF0" w:rsidRDefault="006D7AF0" w:rsidP="006D7AF0">
      <w:pPr>
        <w:pStyle w:val="NormalWeb"/>
      </w:pPr>
      <w:r>
        <w:t>The efficacy of digital comics in education is closely linked to their ability to stimulate both intrinsic and extrinsic motivation, which are primary drivers of academic success</w:t>
      </w:r>
      <w:r w:rsidR="00D60567">
        <w:t xml:space="preserve"> </w:t>
      </w:r>
      <w:r w:rsidR="00D60567">
        <w:fldChar w:fldCharType="begin"/>
      </w:r>
      <w:r w:rsidR="00D60567">
        <w:instrText xml:space="preserve"> ADDIN ZOTERO_ITEM CSL_CITATION {"citationID":"oade1qMg","properties":{"unsorted":false,"formattedCitation":"(Mamolo, 2022)","plainCitation":"(Mamolo, 2022)","noteIndex":0},"citationItems":[{"id":338,"uris":["http://zotero.org/users/local/zqnAJ6Wa/items/NVV3NSYV"],"itemData":{"id":338,"type":"article-journal","abstract":"Mobile phones are prevalent worldwide, and today's learners utilize this technology for instructional purposes. This educational design research aims to evaluate the developed interactive mobile application. This instructional material contributes to today's 21st century or digital native learners' needs to engage students in the teaching-learning process. The app is aligned with mathematics instruction, balancing visuals and Math content. Employing the Instructional Material Development for Non-print Materials instrument shows that the developed mobile app is acceptable for the Grade 11 students. Students reported a positive experience and noted an increased interest in Mathematics when using the app. Further research is needed to explore the integration of this app in the mathematics classroom.","container-title":"Advances in Mobile Learning Educational Research","DOI":"10.25082/amler.2022.02.006","ISSN":"2737-5676","issue":"2","page":"375-388","title":"Students' evaluation and learning experience on the utilization of Digital Interactive Math Comics (DIMaC) mobile app","volume":"2","author":[{"family":"Mamolo","given":"Leo A."}],"issued":{"date-parts":[["2022",1,1]]}}}],"schema":"https://github.com/citation-style-language/schema/raw/master/csl-citation.json"} </w:instrText>
      </w:r>
      <w:r w:rsidR="00D60567">
        <w:fldChar w:fldCharType="separate"/>
      </w:r>
      <w:r w:rsidR="00D60567">
        <w:rPr>
          <w:noProof/>
        </w:rPr>
        <w:t>(Mamolo, 2022)</w:t>
      </w:r>
      <w:r w:rsidR="00D60567">
        <w:fldChar w:fldCharType="end"/>
      </w:r>
      <w:r>
        <w:t>. When students are emotionally engaged through a compelling visual narrative, they tend to exhibit higher levels of curiosity, persistence, and enthusiasm during classroom activities</w:t>
      </w:r>
      <w:r w:rsidR="00D60567">
        <w:t xml:space="preserve"> </w:t>
      </w:r>
      <w:r w:rsidR="00D60567">
        <w:fldChar w:fldCharType="begin"/>
      </w:r>
      <w:r w:rsidR="00D60567">
        <w:instrText xml:space="preserve"> ADDIN ZOTERO_ITEM CSL_CITATION {"citationID":"HGTH8XBg","properties":{"unsorted":false,"formattedCitation":"(Julita &amp; Isna, 2025)","plainCitation":"(Julita &amp; Isna, 2025)","noteIndex":0},"citationItems":[{"id":339,"uris":["http://zotero.org/users/local/zqnAJ6Wa/items/PS88JZYJ"],"itemData":{"id":339,"type":"article-journal","abstract":"This study aimed to evaluate the impact of using animated videos on students’ motivation in learning English. This research was conducted at MTsN 4 Guhang using an experimental-based approach. Class VIII.1 comprised 27 students as the experimental group, and the students of Class VIII.2 were in the control class with 27 students. The data is collected by using a questionnaire consisting of 24 items, in the form of a Likert scale. Based on the results of the independent sample t-test, there was a statistically significant difference in students’ motivation between the experimental class that used animated videos and the control class that received conventional instruction. The t-test produced a p-value of less than 0.001, indicating that the alternative hypothesis (H_a) was rejected. Therefore, it can be concluded that the use of animated videos effectively increases students’ motivation in learning English.","container-title":"Educatio","DOI":"10.29408/edc.v20i2.31866","ISSN":"2527-9998","issue":"2","page":"387-398","publisher":"Universitas Hamzanwadi","title":"The Use Of English Animated Videos To Improve Students’ Motivation","volume":"20","author":[{"family":"Julita","given":"Ratna"},{"family":"Isna","given":"Nuzulul"}],"issued":{"date-parts":[["2025",8,10]]}}}],"schema":"https://github.com/citation-style-language/schema/raw/master/csl-citation.json"} </w:instrText>
      </w:r>
      <w:r w:rsidR="00D60567">
        <w:fldChar w:fldCharType="separate"/>
      </w:r>
      <w:r w:rsidR="00D60567">
        <w:rPr>
          <w:noProof/>
        </w:rPr>
        <w:t>(Julita &amp; Isna, 2025)</w:t>
      </w:r>
      <w:r w:rsidR="00D60567">
        <w:fldChar w:fldCharType="end"/>
      </w:r>
      <w:r>
        <w:t xml:space="preserve">. This increased motivation directly influences student engagement, encouraging them to be more focused and active in the learning process. Enhanced motivation </w:t>
      </w:r>
      <w:r>
        <w:lastRenderedPageBreak/>
        <w:t>serves as a psychological catalyst that allows students to absorb and retain technical information more effectively, ultimately leading to superior material mastery. Thus, the use of creative media like digital comics is not just about visual aesthetics but about creating a dynamic learning environment that supports the cognitive and affective needs of the students.</w:t>
      </w:r>
    </w:p>
    <w:p w14:paraId="312F6C30" w14:textId="263D2399" w:rsidR="006D7AF0" w:rsidRDefault="006D7AF0" w:rsidP="006D7AF0">
      <w:pPr>
        <w:pStyle w:val="NormalWeb"/>
      </w:pPr>
      <w:r>
        <w:t xml:space="preserve">While several studies have explored the general use of comics in education, there is limited research that comprehensively analyzes the structural relationships between instructional strategies, media influence, motivation, and mastery in the specific context of informatics. This study aims to fill this gap by evaluating a conceptual model that links these variables using </w:t>
      </w:r>
      <w:r w:rsidRPr="00A2277B">
        <w:rPr>
          <w:rStyle w:val="Strong"/>
          <w:rFonts w:eastAsiaTheme="majorEastAsia"/>
          <w:b w:val="0"/>
          <w:bCs w:val="0"/>
        </w:rPr>
        <w:t>Structural Equation Modeling (PLS-SEM)</w:t>
      </w:r>
      <w:r>
        <w:t>. The use of PLS-SEM provides a robust statistical framework to test the significance of these pathways and predict how digital comic interventions affect learning outcomes in a junior high school setting</w:t>
      </w:r>
      <w:r w:rsidR="00D60567">
        <w:t xml:space="preserve"> </w:t>
      </w:r>
      <w:r w:rsidR="00D60567">
        <w:fldChar w:fldCharType="begin"/>
      </w:r>
      <w:r w:rsidR="00D60567">
        <w:instrText xml:space="preserve"> ADDIN ZOTERO_ITEM CSL_CITATION {"citationID":"1Al5ehC0","properties":{"unsorted":false,"formattedCitation":"(Rahayu et al., 2023)","plainCitation":"(Rahayu et al., 2023)","noteIndex":0},"citationItems":[{"id":340,"uris":["http://zotero.org/users/local/zqnAJ6Wa/items/6P9LGK7D"],"itemData":{"id":340,"type":"article-journal","abstract":"The advent of information technology has caused people to consider how they can make effective and efficient decisions in various activities. The implementation of information technology systems is expected to be advantageous in facilitating these activities because such systems can provide decision-making support and contribute to the success of endeavors in areas such as business, economic, social politics, and education. One common tool used in learning systems is e-learning applications. This research aims to analyze the effect of e-learning on user loyalty with user satisfaction. This research, conducted in Jakarta, is explanatory in nature, targeting individuals who have utilized e-learning applications in their activities, particularly in the field of public sector activities, with a sample size of 163 public sector employees. Data was collected through online questionnaires, and hypothesis testing was conducted through the PLS-SEM method. The results indicate that service quality and perceived value have positive impacts on user satisfaction, which in turn, positively influences user loyalty.","container-title":"International Journal of Data and Network Science","DOI":"10.5267/j.ijdns.2023.4.004","ISSN":"2561-8148","issue":"3","page":"1341-1348","publisher":"Growing Science","title":"Utilizing e-learning and user loyalty with user satisfaction as mediating variable in public sector context","volume":"7","author":[{"family":"Rahayu","given":"Neneng Sri"},{"family":"Dhiaullah","given":"Muhammad Hasan"},{"family":"Marsha","given":"Alvita"}],"issued":{"date-parts":[["2023",1,1]]}}}],"schema":"https://github.com/citation-style-language/schema/raw/master/csl-citation.json"} </w:instrText>
      </w:r>
      <w:r w:rsidR="00D60567">
        <w:fldChar w:fldCharType="separate"/>
      </w:r>
      <w:r w:rsidR="00D60567">
        <w:rPr>
          <w:noProof/>
        </w:rPr>
        <w:t>(Rahayu et al., 2023)</w:t>
      </w:r>
      <w:r w:rsidR="00D60567">
        <w:fldChar w:fldCharType="end"/>
      </w:r>
      <w:r>
        <w:t xml:space="preserve">. </w:t>
      </w:r>
    </w:p>
    <w:p w14:paraId="12A50499" w14:textId="40A22EE8" w:rsidR="0016274D" w:rsidRDefault="003466B4" w:rsidP="00557FC6">
      <w:pPr>
        <w:pStyle w:val="Heading1"/>
      </w:pPr>
      <w:r>
        <w:t>Literature Review and Hypothesis Development</w:t>
      </w:r>
    </w:p>
    <w:p w14:paraId="5C7C7FA5" w14:textId="105245B6" w:rsidR="003466B4" w:rsidRDefault="00557FC6" w:rsidP="00557FC6">
      <w:pPr>
        <w:pStyle w:val="Heading2"/>
      </w:pPr>
      <w:r w:rsidRPr="00557FC6">
        <w:t>Digital Comics as an Instructional Media in Informatics</w:t>
      </w:r>
    </w:p>
    <w:p w14:paraId="0852EAB7" w14:textId="6CAD657F" w:rsidR="00557FC6" w:rsidRDefault="00557FC6" w:rsidP="00557FC6">
      <w:pPr>
        <w:pStyle w:val="NormalWeb"/>
      </w:pPr>
      <w:r>
        <w:t>Instructional media serves as a fundamental vehicle for delivering educational messages and stimulating students' cognitive and emotional responses during the learning process. This encompasses a broad spectrum of tools, ranging from traditional mediums like blackboards and textbooks to contemporary digital platforms such as interactive videos and online simulations</w:t>
      </w:r>
      <w:r w:rsidR="00FE0D6F">
        <w:t xml:space="preserve"> </w:t>
      </w:r>
      <w:r w:rsidR="00FE0D6F">
        <w:fldChar w:fldCharType="begin"/>
      </w:r>
      <w:r w:rsidR="00FE0D6F">
        <w:instrText xml:space="preserve"> ADDIN ZOTERO_ITEM CSL_CITATION {"citationID":"ci1czJ2D","properties":{"unsorted":false,"formattedCitation":"(Kogila et al., 2020)","plainCitation":"(Kogila et al., 2020)","noteIndex":0},"citationItems":[{"id":341,"uris":["http://zotero.org/users/local/zqnAJ6Wa/items/6I9IKHL7"],"itemData":{"id":341,"type":"article-journal","abstract":"Technological devices are commonly used in different styles and for several uses with educational systems. Instructors have to avoid using technology together with the utmost effectiveness but to additionally serve as role models for pupils in regards to the correct use of technology. Different methods, strategies, equipment, along with tools are used to enhance the effectiveness of coaching and learning operations in the classroom, of that Digital Storytelling is among them. Digital Storytelling (DST) has transformed into a good educational tool for both students and teachers. This paper offers a review of DST as well as portrays where it originated from, how it really well may be utilized to help guide as well as how understudies that discover the way to whip their own advanced stories improve a lot of instruction abilities. What's more often, info is shown about the device which might be utilized to help the instructive utilization of DST. This paper, in addition, has a discussion on the usefulness of DST as being an instructional media program employed in the education process. The goal of this paper is to present the main components of DST used by specialists in DST concepts. This study also discussed the overview of DST combined with the learning atmosphere, particulars specific DST modals and determined the essential elements of DST from several experts to be able to centralize them to cultivate the framework with support different ICT technology. Moreover, the paper covers the justification for the selection of past studies related to main important elements of DST.","container-title":"International Journal of Academic Research in Progressive Education and Development","DOI":"10.6007/ijarped/v9-i2/7483","ISSN":"2226-6348, 2312-1319","issue":"2","title":"A Powerful of Digital Storytelling to Support Education and Key Elements from Various Experts","URL":"https://doi.org/10.6007/ijarped/v9-i2/7483","volume":"9","author":[{"family":"Kogila","given":"M."},{"family":"Ibrahim","given":"Abu Bakar"},{"family":"Zulkifli","given":"Che Zalina"}],"issued":{"date-parts":[["2020",6]]}}}],"schema":"https://github.com/citation-style-language/schema/raw/master/csl-citation.json"} </w:instrText>
      </w:r>
      <w:r w:rsidR="00FE0D6F">
        <w:fldChar w:fldCharType="separate"/>
      </w:r>
      <w:r w:rsidR="00FE0D6F">
        <w:rPr>
          <w:noProof/>
        </w:rPr>
        <w:t>(Kogila et al., 2020)</w:t>
      </w:r>
      <w:r w:rsidR="00FE0D6F">
        <w:fldChar w:fldCharType="end"/>
      </w:r>
      <w:r>
        <w:t>. These media are instrumental in facilitating effective communication between educators and learners, thereby enhancing the overall efficacy of instructional delivery</w:t>
      </w:r>
      <w:r w:rsidR="00FE0D6F">
        <w:t xml:space="preserve"> </w:t>
      </w:r>
      <w:r w:rsidR="00FE0D6F">
        <w:fldChar w:fldCharType="begin"/>
      </w:r>
      <w:r w:rsidR="00FE0D6F">
        <w:instrText xml:space="preserve"> ADDIN ZOTERO_ITEM CSL_CITATION {"citationID":"24Yf5tbk","properties":{"unsorted":false,"formattedCitation":"(Alfurqan et al., 2019)","plainCitation":"(Alfurqan et al., 2019)","noteIndex":0},"citationItems":[{"id":342,"uris":["http://zotero.org/users/local/zqnAJ6Wa/items/3NIUUXKN"],"itemData":{"id":342,"type":"article-journal","abstract":"The purpose of this study is to describe the condition of PAI teachers in teaching related to the use of instructional media. This study uses a qualitative approach. The instrument of this research is the researcher himself. Key informants are PAI teachers, while supporting informants are principals, teachers and students as well as other informants who are obtained by using snow-ball sampling.The findingsof the study obtained an overview of the conditions of theimplementation of the process of religious learning conducted by the teacher. In this case therelationship with variations in using instructional media. It was found in this study that in generalthe teaching teacher was accustomed to traditional ways and could not use the media. Besidesthat, the instructional media available in schools cannot be used for various reasons. And eventeachers have been satisfied with the teaching conditions that have been carried out for years,so they are not interested in using the right instructional media in accordance with the learningmaterial provided.","container-title":"AL-TA LIM","DOI":"10.15548/jt.v26i1.526","ISSN":"1410-7546, 2355-7893","issue":"1","page":"56-64","publisher":"State Institute of Islamic Studies Imam Bonjol Padang","title":"The Problematics of Islamic Religious Education Teacher In Using of Instructional Media at SD Negeri 06 Pancung Soal Pesisir Selatan","volume":"26","author":[{"family":"Alfurqan","given":"Alfurqan"},{"family":"Tamrin","given":"M. Husni"},{"family":"Trinova","given":"Zulvia"},{"family":"Zuhdiyah","given":"Zuhdiyah"}],"issued":{"date-parts":[["2019",2]]}}}],"schema":"https://github.com/citation-style-language/schema/raw/master/csl-citation.json"} </w:instrText>
      </w:r>
      <w:r w:rsidR="00FE0D6F">
        <w:fldChar w:fldCharType="separate"/>
      </w:r>
      <w:r w:rsidR="00FE0D6F">
        <w:rPr>
          <w:noProof/>
        </w:rPr>
        <w:t>(Alfurqan et al., 2019)</w:t>
      </w:r>
      <w:r w:rsidR="00FE0D6F">
        <w:fldChar w:fldCharType="end"/>
      </w:r>
      <w:r>
        <w:t xml:space="preserve">. </w:t>
      </w:r>
      <w:r w:rsidR="005D7DD7" w:rsidRPr="005D7DD7">
        <w:t>The strategic selection and integration of these diverse instructional media are paramount for educators to achieve predetermined learning objectives and to foster a dynamic learning environment</w:t>
      </w:r>
      <w:r w:rsidR="005D7DD7">
        <w:t>.</w:t>
      </w:r>
    </w:p>
    <w:p w14:paraId="700310DF" w14:textId="426A3F0C" w:rsidR="00557FC6" w:rsidRDefault="00557FC6" w:rsidP="00557FC6">
      <w:pPr>
        <w:pStyle w:val="NormalWeb"/>
      </w:pPr>
      <w:r>
        <w:t>Digital comics, characterized by sequential panels, illustrations, and dialogue balloons, offer a unique pedagogical advantage by merging entertainment with education</w:t>
      </w:r>
      <w:r w:rsidR="005D7DD7">
        <w:t xml:space="preserve"> </w:t>
      </w:r>
      <w:r w:rsidR="005D7DD7">
        <w:fldChar w:fldCharType="begin"/>
      </w:r>
      <w:r w:rsidR="005D7DD7">
        <w:instrText xml:space="preserve"> ADDIN ZOTERO_ITEM CSL_CITATION {"citationID":"lcezH9Di","properties":{"unsorted":false,"formattedCitation":"(Amrullah et al., 2024)","plainCitation":"(Amrullah et al., 2024)","noteIndex":0},"citationItems":[{"id":343,"uris":["http://zotero.org/users/local/zqnAJ6Wa/items/FVIT8UAG"],"itemData":{"id":343,"type":"article-journal","abstract":"Active student participation and engagement in diverse practice exercises are essential for mastering all four language skills. Due to the lack of active participation, students' proficiency in Arabic language learning, particularly in speaking skills (maharah kalam), falls below the required educational benchmarks. This research uses a quasi-experimental approach to assess the effectiveness of two different learning media: Plotagon for Tenth-grade students of IPS 1 and digital comics for Tenth-grade students of IPS 2 in improving Arabic speaking skills. The research findings indicate that students who used Plotagon as a learning tool to enhance their speaking skills achieved significantly better learning outcomes on average compared to students who used digital comics for the same purpose. Additionally, this study found that students who utilized Plotagon for learning exhibited higher engagement levels than those who used digital comics. These findings highlight the significance of active engagement in learning Arabic and indicate that Plotagon animation can be a valuable tool for enhancing learning outcomes and student engagement.","container-title":"Al-Ta rib Jurnal Ilmiah Program Studi Pendidikan Bahasa Arab IAIN Palangka Raya","DOI":"10.23971/altarib.v12i1.7564","ISSN":"2354-5887, 2655-5867","issue":"1","page":"17-32","publisher":"LP2M IAIN Palangka Raya","title":"Elevating Arabic Speaking Skills: Plotagon and Digital Comics as Catalysts for Enhanced Learning Engagement and Proficiency","volume":"12","author":[{"family":"Amrullah","given":"M. Kholis"},{"family":"Riwanda","given":"Agus"},{"family":"Marsiah","given":"Marsiah"},{"family":"Wilailak","given":"Wisetrat"}],"issued":{"date-parts":[["2024",6]]}}}],"schema":"https://github.com/citation-style-language/schema/raw/master/csl-citation.json"} </w:instrText>
      </w:r>
      <w:r w:rsidR="005D7DD7">
        <w:fldChar w:fldCharType="separate"/>
      </w:r>
      <w:r w:rsidR="005D7DD7">
        <w:rPr>
          <w:noProof/>
        </w:rPr>
        <w:t>(Amrullah et al., 2024)</w:t>
      </w:r>
      <w:r w:rsidR="005D7DD7">
        <w:fldChar w:fldCharType="end"/>
      </w:r>
      <w:r>
        <w:t>. In the context of informatics, where concepts like hardware architecture and computer systems are often perceived as overly abstract, comics provide a concrete visual framework that simplifies technical jargon. By utilizing humor and relatable narratives, digital comics can reduce cognitive load, allowing students to grasp the integrated functions of components such as the CPU and RAM more effectively</w:t>
      </w:r>
      <w:r w:rsidR="005D7DD7">
        <w:t xml:space="preserve"> </w:t>
      </w:r>
      <w:r w:rsidR="005D7DD7">
        <w:fldChar w:fldCharType="begin"/>
      </w:r>
      <w:r w:rsidR="005D7DD7">
        <w:instrText xml:space="preserve"> ADDIN ZOTERO_ITEM CSL_CITATION {"citationID":"9KWfKMaZ","properties":{"unsorted":false,"formattedCitation":"(Apostolou &amp; Linardatos, 2023)","plainCitation":"(Apostolou &amp; Linardatos, 2023)","noteIndex":0},"citationItems":[{"id":344,"uris":["http://zotero.org/users/local/zqnAJ6Wa/items/YMBVY4GT"],"itemData":{"id":344,"type":"article-journal","abstract":"The use of comics and their creation is an especially promising tool to enable students to construct new knowledge. Comics have already been adopted in many applied sciences disciplines, as the combination of text and images has been recognized as a powerful learning tool. Educational activities and tools, however, must not create an overload on students’ working memory that could hinder learning. In the current study, we investigated, through pre-test and post-test performance, the effect of digital comics creation on students’ efforts to construct new knowledge. Furthermore, through the multidimensional NASA-TLX, we assessed the cognitive load imposed on students. The results were in favor of digital comics creation, ranking it as an efficient instructional activity. Specifically, the students’ performance after digital comics creation improved and the imposed load on students was normal. Also, studying the weighing procedure between the NASA-TLX dimensions, frustration and temporal demand were found to be the most aggravating dimensions. Finally, implications for teachers and future research recommendations are discussed.","container-title":"Applied Sciences","DOI":"10.3390/app13137896","ISSN":"2076-3417","issue":"13","page":"7896-7896","publisher":"Multidisciplinary Digital Publishing Institute","title":"Cognitive Load Approach to Digital Comics Creation: A Student-Centered Learning Case","volume":"13","author":[{"family":"Apostolou","given":"Dimitris"},{"family":"Linardatos","given":"Gerasimos"}],"issued":{"date-parts":[["2023",7]]}}}],"schema":"https://github.com/citation-style-language/schema/raw/master/csl-citation.json"} </w:instrText>
      </w:r>
      <w:r w:rsidR="005D7DD7">
        <w:fldChar w:fldCharType="separate"/>
      </w:r>
      <w:r w:rsidR="005D7DD7">
        <w:rPr>
          <w:noProof/>
        </w:rPr>
        <w:t>(Apostolou &amp; Linardatos, 2023)</w:t>
      </w:r>
      <w:r w:rsidR="005D7DD7">
        <w:fldChar w:fldCharType="end"/>
      </w:r>
      <w:r>
        <w:t>. Furthermore, the web-based nature of modern digital comics ensures flexible access across various devices, fostering a more dynamic learning environment</w:t>
      </w:r>
      <w:r w:rsidR="00C81B26">
        <w:t xml:space="preserve"> </w:t>
      </w:r>
      <w:r w:rsidR="00C81B26">
        <w:fldChar w:fldCharType="begin"/>
      </w:r>
      <w:r w:rsidR="00C81B26">
        <w:instrText xml:space="preserve"> ADDIN ZOTERO_ITEM CSL_CITATION {"citationID":"lkKJN6IY","properties":{"unsorted":false,"formattedCitation":"(Lesmono et al., 2018)","plainCitation":"(Lesmono et al., 2018)","noteIndex":0},"citationItems":[{"id":345,"uris":["http://zotero.org/users/local/zqnAJ6Wa/items/LT4IS2QJ"],"itemData":{"id":345,"type":"article-journal","abstract":"This study aimed to determine the validation of Andro-web comics on Work and Energy topic. To achieve the objective, this study was designed referring to ADDIE model, i.e, Analysis, Design, Development or Production, Implementation or Deliver, and Evaluations. The Andro-web comics could be accessed using a digital comic application, Webtoon. It is downloadable in Play store or App store. The Andro-web comics is compatible with all devices including mobile devices (phone, tablet, iPod, PDA, and smartphone) and PC/Mac. Based on the expert judgment, the Andro-web comics is suitable for learning. The Instructional-Based Andro-Web Comics is alternative instructional materials for teachers to attract students’ attention and help them studying easily and practically as it provides an interesting illustration with simple language. It could also be used wherever and whenever without teacher’s guidance. Both teachers and students could communicate on the comment column which is available in the application without time and place limitation.","container-title":"Jurnal Pendidikan IPA Indonesia","DOI":"10.15294/jpii.v7i2.14245","ISSN":"2089-4392, 2339-1286","issue":"2","page":"147-153","publisher":"State University of Semarang","title":"The Instructional-Based Andro-Web Comics on Work and Energy Topic for Senior High School Students","volume":"7","author":[{"family":"Lesmono","given":"Albertus Djoko"},{"family":"Bachtiar","given":"Rayendra Wahyu"},{"family":"Maryani","given":"Maryani"},{"family":"Muzdalifah","given":"A."}],"issued":{"date-parts":[["2018",7]]}}}],"schema":"https://github.com/citation-style-language/schema/raw/master/csl-citation.json"} </w:instrText>
      </w:r>
      <w:r w:rsidR="00C81B26">
        <w:fldChar w:fldCharType="separate"/>
      </w:r>
      <w:r w:rsidR="00C81B26">
        <w:rPr>
          <w:noProof/>
        </w:rPr>
        <w:t>(Lesmono et al., 2018)</w:t>
      </w:r>
      <w:r w:rsidR="00C81B26">
        <w:fldChar w:fldCharType="end"/>
      </w:r>
      <w:r>
        <w:t>.</w:t>
      </w:r>
      <w:r w:rsidR="00C25446">
        <w:t xml:space="preserve"> </w:t>
      </w:r>
      <w:r w:rsidR="00C25446" w:rsidRPr="00C25446">
        <w:t>This multimodal textual-visual format leverages narratives, characters, and designs specifically crafted to convey and elucidate educational information, making complex topics more accessible and engaging for students</w:t>
      </w:r>
    </w:p>
    <w:p w14:paraId="0CD23F29" w14:textId="071B82E1" w:rsidR="00DC04BD" w:rsidRDefault="00DC04BD" w:rsidP="00DC04BD">
      <w:pPr>
        <w:pStyle w:val="Heading2"/>
      </w:pPr>
      <w:r w:rsidRPr="00DC04BD">
        <w:t>Conceptualizing Student Motivation and Material Mastery</w:t>
      </w:r>
    </w:p>
    <w:p w14:paraId="0A620B20" w14:textId="448C4CA2" w:rsidR="00DC04BD" w:rsidRDefault="00DC04BD" w:rsidP="00DC04BD">
      <w:pPr>
        <w:pStyle w:val="NormalWeb"/>
      </w:pPr>
      <w:r>
        <w:t>Learning motivation is a multifaceted psychological construct that dictates the intensity and persistence of a student's engagement in educational activities. Effective learning media, such as digital comics, play a crucial role in cultivating and sustaining this motivation by presenting information in an engaging and accessible format</w:t>
      </w:r>
      <w:r w:rsidR="00233208">
        <w:t xml:space="preserve"> </w:t>
      </w:r>
      <w:r w:rsidR="00233208">
        <w:fldChar w:fldCharType="begin"/>
      </w:r>
      <w:r w:rsidR="00233208">
        <w:instrText xml:space="preserve"> ADDIN ZOTERO_ITEM CSL_CITATION {"citationID":"nUr6nkUs","properties":{"unsorted":false,"formattedCitation":"(Reinita et al., 2023)","plainCitation":"(Reinita et al., 2023)","noteIndex":0},"citationItems":[{"id":346,"uris":["http://zotero.org/users/local/zqnAJ6Wa/items/CKJYQERF"],"itemData":{"id":346,"type":"article-journal","abstract":"Lack of use of media that is interesting, fun, and easy for students to understand makes students have difficulty understanding the material and often feel bored and lack motivation to learn. The requirement for learning media tailored to students’ interests spurred this study’s development of useful PBL-based digital comic learning media in Class IV Elementary Schools. Comics in learning follow students’ thinking levels, especially elementary school students. Techniques are used sequentially to make communication and interaction between teachers and students more effective in the learning and teaching process. A teacher's success in the learning process is when students can understand the material conveyed by the teacher to shape students' character through learning media. This study uses the ADDIE development methodology for analysis, design, development, implementation, and evaluation. Students at SDN 32 Andalas in the fourth grade participated in this study. 95.8% of teachers responded to the teacher response survey, and 98.8% of students responded to the student response survey, both of which were “very practical.” Thus, digital comic learning media in PKN learning in class IV of elementary school has been declared practical.","container-title":"Jurnal Inovasi Teknologi Pendidikan","DOI":"10.21831/jitp.v10i2.58625","ISSN":"2407-0963, 2460-7177","issue":"2","page":"149-157","publisher":"State University of Yogyakarta","title":"The practices of digital comic media based on the PBL model in elementary school","volume":"10","author":[{"family":"Reinita","given":"Reinita"},{"family":"Jannah","given":"Mifthahul"},{"family":"Sandika","given":"Ferdian Admil"}],"issued":{"date-parts":[["2023",6]]}}}],"schema":"https://github.com/citation-style-language/schema/raw/master/csl-citation.json"} </w:instrText>
      </w:r>
      <w:r w:rsidR="00233208">
        <w:fldChar w:fldCharType="separate"/>
      </w:r>
      <w:r w:rsidR="00233208">
        <w:rPr>
          <w:noProof/>
        </w:rPr>
        <w:t>(Reinita et al., 2023)</w:t>
      </w:r>
      <w:r w:rsidR="00233208">
        <w:fldChar w:fldCharType="end"/>
      </w:r>
      <w:r>
        <w:t xml:space="preserve">. Such media serve as </w:t>
      </w:r>
      <w:r>
        <w:lastRenderedPageBreak/>
        <w:t>delivery systems for educational communications, facilitating the acquisition of knowledge and fostering active participation</w:t>
      </w:r>
      <w:r w:rsidR="00233208">
        <w:t xml:space="preserve"> </w:t>
      </w:r>
      <w:r w:rsidR="00233208">
        <w:fldChar w:fldCharType="begin"/>
      </w:r>
      <w:r w:rsidR="00233208">
        <w:instrText xml:space="preserve"> ADDIN ZOTERO_ITEM CSL_CITATION {"citationID":"BaTUtTwC","properties":{"unsorted":false,"formattedCitation":"(Rina et al., 2020)","plainCitation":"(Rina et al., 2020)","noteIndex":0},"citationItems":[{"id":347,"uris":["http://zotero.org/users/local/zqnAJ6Wa/items/ZIARK68K"],"itemData":{"id":347,"type":"article-journal","abstract":"&amp;lt;p&amp;gt;Reading is one of the cultures in society that tends to be abandoned along with the rapid development of information technology as children nowadays tend to choose something practical as a medium for finding information. Therefore, to improve the latest learning methods through digital media, character-based literacy comics become the main choice in building positive educational values among elementary school students. This study aims to produce character-based comic media, determine the feasibility and effectiveness of character-based comic media on the development of character education for fourth-grade elementary school students. This research used development research consisting of some stages, namely: research and data collection, planning, product draft development, expert validation, expert-based revision, limited trials, improvement of the product of limited trial results, field trials, improvement of the final product, and product dissemination. The subjects of this study were the fourth-grade students of the Koran Elementary School (SDQu) i.e. 26 students consisting of 6 students for limited trials and 20 students for field trials. The results of this study show that: (1) character-based comic media was produced in thematic-integrative learning, (2) the developed comic media were viewed in terms of the quality aspects of media aspects and material aspects from the experts, the teacher, and the results of students’ responses were categorized very well , and (3) comic media developed effectively increased the value of student character in the learning process.&amp;lt;strong&amp;gt;&amp;lt;/strong&amp;gt;&amp;lt;/p&amp;gt;","container-title":"International Journal of Interactive Mobile Technologies (iJIM)","DOI":"10.3991/ijim.v14i03.12111","ISSN":"1865-7923","issue":"3","page":"107-107","publisher":"kassel university press","title":"Character Education Based On Digital Comic Media","volume":"14","author":[{"family":"Rina","given":"Nofha"},{"family":"Suminar","given":"Jenny Ratna"},{"family":"Damayani","given":"Ninis Agustini"},{"family":"Hafiar","given":"Hanny"}],"issued":{"date-parts":[["2020",2]]}}}],"schema":"https://github.com/citation-style-language/schema/raw/master/csl-citation.json"} </w:instrText>
      </w:r>
      <w:r w:rsidR="00233208">
        <w:fldChar w:fldCharType="separate"/>
      </w:r>
      <w:r w:rsidR="00233208">
        <w:rPr>
          <w:noProof/>
        </w:rPr>
        <w:t>(Rina et al., 2020)</w:t>
      </w:r>
      <w:r w:rsidR="00233208">
        <w:fldChar w:fldCharType="end"/>
      </w:r>
      <w:r>
        <w:t>. Ultimately, the effective deployment of appropriate learning media is paramount for optimizing learning outcomes and enriching the educational experience</w:t>
      </w:r>
      <w:r w:rsidR="00233208">
        <w:t xml:space="preserve"> </w:t>
      </w:r>
      <w:r w:rsidR="00233208">
        <w:fldChar w:fldCharType="begin"/>
      </w:r>
      <w:r w:rsidR="00233208">
        <w:instrText xml:space="preserve"> ADDIN ZOTERO_ITEM CSL_CITATION {"citationID":"od55btVL","properties":{"unsorted":false,"formattedCitation":"(Nafala, 2022)","plainCitation":"(Nafala, 2022)","noteIndex":0},"citationItems":[{"id":348,"uris":["http://zotero.org/users/local/zqnAJ6Wa/items/VVZQY6AX"],"itemData":{"id":348,"type":"article-journal","abstract":"The role of comic media in learning plays a key role in increasing student motivation. The purpose of this article is to know how implementation and media functions in improving student study motivation. By using previous research for later analysis. For this reason, it is felt that educators know the benefits and implementation of comic media as learning medium so that learning is not monotonous and tend to bore students. Comics as role media are a tool that performs a learning message. In this context, learning points to a communication process between learners and learning resources (study comics). Learning communication works best when the message of learning is conveyed clearly, by blocks, and by appeals.&amp;#x0D; Keyword: comics media, Learning, Education,","container-title":"Al-Fikru Jurnal Pendidikan Dan Sains","DOI":"10.55210/al-fikru.v3i1.571","ISSN":"2747-1349, 2774-5627","issue":"1","page":"114-130","title":"IMPLEMENTASI MEDIA KOMIK DALAM PEMBELAJARAN UNTUK MENINGKATKAN MOTIVASI BELAJAR SISWA","volume":"3","author":[{"family":"Nafala","given":"Nur Mazidah"}],"issued":{"date-parts":[["2022",4]]}}}],"schema":"https://github.com/citation-style-language/schema/raw/master/csl-citation.json"} </w:instrText>
      </w:r>
      <w:r w:rsidR="00233208">
        <w:fldChar w:fldCharType="separate"/>
      </w:r>
      <w:r w:rsidR="00233208">
        <w:rPr>
          <w:noProof/>
        </w:rPr>
        <w:t>(Nafala, 2022)</w:t>
      </w:r>
      <w:r w:rsidR="00233208">
        <w:fldChar w:fldCharType="end"/>
      </w:r>
      <w:r>
        <w:t xml:space="preserve">. </w:t>
      </w:r>
    </w:p>
    <w:p w14:paraId="6E51807F" w14:textId="4BB7D036" w:rsidR="00DC04BD" w:rsidRDefault="00DC04BD" w:rsidP="00DC04BD">
      <w:pPr>
        <w:pStyle w:val="NormalWeb"/>
      </w:pPr>
      <w:r>
        <w:t>Within the informatics curriculum, high motivation is essential for students to navigate complex technical materials and achieve superior material mastery</w:t>
      </w:r>
      <w:r w:rsidR="00770E5B">
        <w:t xml:space="preserve"> </w:t>
      </w:r>
      <w:r w:rsidR="00770E5B">
        <w:fldChar w:fldCharType="begin"/>
      </w:r>
      <w:r w:rsidR="00770E5B">
        <w:instrText xml:space="preserve"> ADDIN ZOTERO_ITEM CSL_CITATION {"citationID":"07gl0Iya","properties":{"unsorted":false,"formattedCitation":"(Dewi et al., 2025)","plainCitation":"(Dewi et al., 2025)","noteIndex":0},"citationItems":[{"id":349,"uris":["http://zotero.org/users/local/zqnAJ6Wa/items/6BWJRI46"],"itemData":{"id":349,"type":"article-journal","abstract":"Initial observations in Grade X Informatics classes at SMA Negeri 1 Panji identified a significant pedagogical challenge: low student motivation and engagement, largely due to the perceived complexity of the subject matter. To address this issue, Android-based learning media was proposed as an innovative solution, leveraging its ability to present content dynamically through integrated multimedia elements such as images, videos, animations, and interactive quizzes. This research and development (R&amp;amp;D) study aimed to design and implement such media to increase student participation, improve conceptual understanding, and create a more interactive learning environment. The development process followed the ADDIE model (Analysis, Design, Development, Implementation, and Evaluation). Data were collected from 19 Grade X students, one subject teacher (serving as a material expert), and a media expert (holding a Master’s degree in Computer Science). Results indicated that the developed Android-based interactive learning media, named \"Bitnesia,\" is highly suitable for educational use. This conclusion is supported by outstanding validation outcomes, with media expert, material expert, and student effectiveness tests all scoring ≥90%. The study affirms that a well-designed learning media application can significantly contribute to a stimulating and effective Informatics learning experience.","container-title":"ASATIZA Jurnal Pendidikan","DOI":"10.46963/asatiza.v6i3.2822","ISSN":"2716-3202, 2721-0723","issue":"3","page":"234-249","title":"Enhancing informatics learning through android-based interactive media: A development study with the ADDIE model","volume":"6","author":[{"family":"Dewi","given":"Sinta"},{"family":"Surur","given":"Miftahus"},{"family":"Jaya","given":"Firman"}],"issued":{"date-parts":[["2025",9]]}}}],"schema":"https://github.com/citation-style-language/schema/raw/master/csl-citation.json"} </w:instrText>
      </w:r>
      <w:r w:rsidR="00770E5B">
        <w:fldChar w:fldCharType="separate"/>
      </w:r>
      <w:r w:rsidR="00770E5B">
        <w:rPr>
          <w:noProof/>
        </w:rPr>
        <w:t>(Dewi et al., 2025)</w:t>
      </w:r>
      <w:r w:rsidR="00770E5B">
        <w:fldChar w:fldCharType="end"/>
      </w:r>
      <w:r>
        <w:t>. Material mastery refers to the level of an individual's comprehension and ability to apply concepts, theories, and technical information related to computer devices. Theoretical frameworks suggest that when learning materials are presented in an engaging visual format, they can trigger both intrinsic curiosity and extrinsic drive</w:t>
      </w:r>
      <w:r w:rsidR="00770E5B">
        <w:t xml:space="preserve"> </w:t>
      </w:r>
      <w:r w:rsidR="00770E5B">
        <w:fldChar w:fldCharType="begin"/>
      </w:r>
      <w:r w:rsidR="00770E5B">
        <w:instrText xml:space="preserve"> ADDIN ZOTERO_ITEM CSL_CITATION {"citationID":"Tns7lbif","properties":{"unsorted":false,"formattedCitation":"(O\\uc0\\u8217{}Brien &amp; Toms, 2008)","plainCitation":"(O’Brien &amp; Toms, 2008)","noteIndex":0},"citationItems":[{"id":350,"uris":["http://zotero.org/users/local/zqnAJ6Wa/items/E7FP9WRM"],"itemData":{"id":350,"type":"article-journal","abstract":"Abstract The purpose of this article is to critically deconstruct the term engagement as it applies to peoples' experiences with technology. Through an extensive, critical multidisciplinary literature review and exploratory study of users of Web searching, online shopping, Webcasting, and gaming applications, we conceptually and operationally defined engagement. Building on past research, we conducted semistructured interviews with the users of four applications to explore their perception of being engaged with the technology. Results indicate that engagement is a process comprised of four distinct stages: point of engagement, period of sustained engagement, disengagement, and reengagement. Furthermore, the process is characterized by attributes of engagement that pertain to the user, the system, and user‐system interaction. We also found evidence of the factors that contribute to nonengagement. Emerging from this research is a definition of engagement—a term not defined consistently in past work—as a quality of user experience characterized by attributes of challenge, positive affect, endurability, aesthetic and sensory appeal, attention, feedback, variety/novelty, interactivity, and perceived user control. This exploratory work provides the foundation for future work to test the conceptual model in various application areas, and to develop methods to measure engaging user experiences.","container-title":"Journal of the American Society for Information Science and Technology","DOI":"10.1002/asi.20801","ISSN":"1532-2882, 1532-2890","issue":"6","page":"938-955","publisher":"Wiley","title":"What is user engagement? A conceptual framework for defining user engagement with technology","volume":"59","author":[{"family":"O'Brien","given":"Heather L."},{"family":"Toms","given":"Elaine G."}],"issued":{"date-parts":[["2008",2]]}}}],"schema":"https://github.com/citation-style-language/schema/raw/master/csl-citation.json"} </w:instrText>
      </w:r>
      <w:r w:rsidR="00770E5B">
        <w:fldChar w:fldCharType="separate"/>
      </w:r>
      <w:r w:rsidR="00770E5B" w:rsidRPr="00770E5B">
        <w:rPr>
          <w:lang w:val="en-US"/>
        </w:rPr>
        <w:t>(O’Brien &amp; Toms, 2008)</w:t>
      </w:r>
      <w:r w:rsidR="00770E5B">
        <w:fldChar w:fldCharType="end"/>
      </w:r>
      <w:r>
        <w:t>. This motivational surge acts as a catalyst, encouraging students to focus more intently and participate actively, which ultimately correlates with higher academic performance and a deeper understanding of digital technologies</w:t>
      </w:r>
      <w:r w:rsidR="00770E5B">
        <w:t xml:space="preserve"> </w:t>
      </w:r>
      <w:r w:rsidR="00770E5B">
        <w:fldChar w:fldCharType="begin"/>
      </w:r>
      <w:r w:rsidR="00770E5B">
        <w:instrText xml:space="preserve"> ADDIN ZOTERO_ITEM CSL_CITATION {"citationID":"m9Zpvwei","properties":{"unsorted":false,"formattedCitation":"(Osmani &amp; Tartari, 2024)","plainCitation":"(Osmani &amp; Tartari, 2024)","noteIndex":0},"citationItems":[{"id":351,"uris":["http://zotero.org/users/local/zqnAJ6Wa/items/GVAAH82Z"],"itemData":{"id":351,"type":"article-journal","abstract":"The incorporation of digital technology in education has become more widespread, offering the potential to transform conventional teaching methods and improve student learning experiences. This study investigates the influence of digital technology on the process of learning and teaching in Albanian schools. This study used a mixed-methods approach to examine the benefits, difficulties, and overall efficacy of digital tools in educational environments. This paper provides a comprehensive literature analysis to examine the global trends and issues related to digital technology in education, with a specific focus on developing nations. It emphasizes the distinct socio-economic and infrastructural difficulties encountered by Albania, a developing country endeavoring to improve its educational system. Survey responses from a diverse selection of 10 educational institutions in Durrës, Albania provided numerical data. Quantitative data collection involved conducting questionnaires with students of different ages, which allowed for a comprehensive understanding of their experiences and perspectives. The results demonstrate that the use of digital technology greatly improves student engagement and academic achievement. Schools that integrated digital technology into their curriculum achieved higher exam scores than schools that did not. Nevertheless, the research also highlights notable obstacles such as limited infrastructure, unstable internet access, and inadequate teacher preparation that impede the efficient utilization of digital resources. It is necessary for teachers a significant inclination for additional training and assistance, while students demonstrated a preference for digital learning tools over conventional techniques, citing heightened enthusiasm and involvement. This study provides policy proposals to effectively solve the highlighted difficulties and improve the incorporation of digital technology in Albanian schools. These include increased financial resources for improving infrastructure, comprehensive programs for educating teachers, and the establishment of a supportive framework to maintain digital integration endeavors. In summary, this study offers a comprehensive analysis of the impact of digital technology on educational achievements in Albania, making a significant contribution to the wider discussion on digital education in developing nations. The results emphasize the revolutionary capacity of digital tools in education while emphasizing the critical necessity of resolving structural obstacles in order to fully achieve this promise. Received: 14 July 2024 / Accepted: 2 October 2024 / Published: 05 November 2024","container-title":"Journal of Educational and Social Research","DOI":"10.36941/jesr-2024-0165","ISSN":"2240-0524, 2239-978X","issue":"6","page":"193-193","publisher":"Richtmann Publishing","title":"The Impact of Digital Technology on Learning and Teaching: A Case Study of Schools in Durrës, Albania","volume":"14","author":[{"family":"Osmani","given":"Sonila"},{"family":"Tartari","given":"Doreta"}],"issued":{"date-parts":[["2024",11]]}}}],"schema":"https://github.com/citation-style-language/schema/raw/master/csl-citation.json"} </w:instrText>
      </w:r>
      <w:r w:rsidR="00770E5B">
        <w:fldChar w:fldCharType="separate"/>
      </w:r>
      <w:r w:rsidR="00770E5B">
        <w:rPr>
          <w:noProof/>
        </w:rPr>
        <w:t>(Osmani &amp; Tartari, 2024)</w:t>
      </w:r>
      <w:r w:rsidR="00770E5B">
        <w:fldChar w:fldCharType="end"/>
      </w:r>
      <w:r>
        <w:t>. Given that traditional print media comics often fail to develop intellectual understanding, e-comics address this by providing material, graphics, stories, and sample questions in an engaging format that mitigates boredom and enhances comprehension</w:t>
      </w:r>
      <w:r w:rsidR="00770E5B">
        <w:t xml:space="preserve"> </w:t>
      </w:r>
      <w:r w:rsidR="00770E5B">
        <w:fldChar w:fldCharType="begin"/>
      </w:r>
      <w:r w:rsidR="00770E5B">
        <w:instrText xml:space="preserve"> ADDIN ZOTERO_ITEM CSL_CITATION {"citationID":"hG2ASfdh","properties":{"unsorted":false,"formattedCitation":"(Khoiri et al., 2024)","plainCitation":"(Khoiri et al., 2024)","noteIndex":0},"citationItems":[{"id":352,"uris":["http://zotero.org/users/local/zqnAJ6Wa/items/3ZVZ3P47"],"itemData":{"id":352,"type":"article-journal","abstract":"This research aims to create effective physics e-comic learning media to help students understand Newton’s concepts. The Research and Development method was used in conjunction with a 4-D development model that consists of four stages: definition, design, development, and dissemination. At the definition stage, a series of needs analysis was carried out, collecting and analyzing information. After a series of definitions had been formulated, the next step was to design. This stage involved designing the product that would be created in accordance with the previously completed definition formula. After the design stage was completed, the designing stage consisted of two steps, namely expert appraisal (expert assessment), accompanied by revisions and developmental testing (development trials) up to the deployment stage. A limited trial on 27 students of class VIII from SMP Negeri 15 Semarang resulted in an increase of 80% in student learning outcomes in final physics learning with the criteria “very feasible.” Based on limited trials, the e-comic media developed was effective and could be used as a physics learning medium to build understanding of Newtonian material physics concepts. This research could serve as a foundation for several other studies that employed diverse and innovative learning media, such as e-comics, which could have ramifications for readers’ understanding of several concepts related to their cognitive abilities.","container-title":"Momentum Physics Education Journal","DOI":"10.21067/mpej.v8i1.8478","ISSN":"2548-9127, 2548-9135","issue":"1","page":"154-165","publisher":"Kanjuruhan University","title":"E-comic as a media to build an understanding of newtons concepts","volume":"8","author":[{"family":"Khoiri","given":"Nur"},{"family":"Lilyani","given":"Feby Sella Tutut"},{"family":"Wijayanto","given":"Wijayanto"}],"issued":{"date-parts":[["2024",1]]}}}],"schema":"https://github.com/citation-style-language/schema/raw/master/csl-citation.json"} </w:instrText>
      </w:r>
      <w:r w:rsidR="00770E5B">
        <w:fldChar w:fldCharType="separate"/>
      </w:r>
      <w:r w:rsidR="00770E5B">
        <w:rPr>
          <w:noProof/>
        </w:rPr>
        <w:t>(Khoiri et al., 2024)</w:t>
      </w:r>
      <w:r w:rsidR="00770E5B">
        <w:fldChar w:fldCharType="end"/>
      </w:r>
      <w:r>
        <w:t xml:space="preserve">. </w:t>
      </w:r>
    </w:p>
    <w:p w14:paraId="3EC35389" w14:textId="1B507021" w:rsidR="00DC04BD" w:rsidRDefault="00EE6DD4" w:rsidP="00EE6DD4">
      <w:pPr>
        <w:pStyle w:val="Heading2"/>
      </w:pPr>
      <w:r w:rsidRPr="00EE6DD4">
        <w:t>Conceptual Model and Hypothesis Development</w:t>
      </w:r>
    </w:p>
    <w:p w14:paraId="32CA0679" w14:textId="1B9BEE0D" w:rsidR="003D6659" w:rsidRDefault="00EE6DD4" w:rsidP="003D6659">
      <w:pPr>
        <w:pStyle w:val="NormalWeb"/>
      </w:pPr>
      <w:r>
        <w:t>This research proposes a structural model to evaluate the determinants of student performance in informatics education using PLS-SEM. The conceptual framework explores how instructional strategies and visual media collectively influence cognitive outcomes through the mediation of student motivation.</w:t>
      </w:r>
      <w:r w:rsidR="003D6659">
        <w:t xml:space="preserve"> </w:t>
      </w:r>
      <w:r w:rsidR="003D6659">
        <w:t>Figure 1</w:t>
      </w:r>
      <w:r w:rsidR="003D6659">
        <w:t xml:space="preserve"> shows the proposed conceptual model of this study.</w:t>
      </w:r>
    </w:p>
    <w:p w14:paraId="7CE36307" w14:textId="11C07DC9" w:rsidR="003D6659" w:rsidRDefault="009B51A9" w:rsidP="000A4E90">
      <w:pPr>
        <w:pStyle w:val="NormalWeb"/>
        <w:jc w:val="center"/>
      </w:pPr>
      <w:r w:rsidRPr="009B51A9">
        <w:drawing>
          <wp:inline distT="0" distB="0" distL="0" distR="0" wp14:anchorId="20A63A60" wp14:editId="179E129F">
            <wp:extent cx="3657600" cy="1313765"/>
            <wp:effectExtent l="0" t="0" r="0" b="0"/>
            <wp:docPr id="156651777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17776" name="Picture 1" descr="A black background with a black square&#10;&#10;AI-generated content may be incorrect."/>
                    <pic:cNvPicPr/>
                  </pic:nvPicPr>
                  <pic:blipFill>
                    <a:blip r:embed="rId4"/>
                    <a:stretch>
                      <a:fillRect/>
                    </a:stretch>
                  </pic:blipFill>
                  <pic:spPr>
                    <a:xfrm>
                      <a:off x="0" y="0"/>
                      <a:ext cx="3657600" cy="1313765"/>
                    </a:xfrm>
                    <a:prstGeom prst="rect">
                      <a:avLst/>
                    </a:prstGeom>
                  </pic:spPr>
                </pic:pic>
              </a:graphicData>
            </a:graphic>
          </wp:inline>
        </w:drawing>
      </w:r>
    </w:p>
    <w:p w14:paraId="31A5FABD" w14:textId="04BF2215" w:rsidR="009B51A9" w:rsidRDefault="009B51A9" w:rsidP="000A4E90">
      <w:pPr>
        <w:pStyle w:val="NormalWeb"/>
        <w:jc w:val="center"/>
      </w:pPr>
      <w:r>
        <w:t>Figure 1. The proposed conceptual model</w:t>
      </w:r>
    </w:p>
    <w:p w14:paraId="5D5DA49D" w14:textId="5A9A3058" w:rsidR="003D6659" w:rsidRDefault="003D6659" w:rsidP="003D6659">
      <w:pPr>
        <w:pStyle w:val="NormalWeb"/>
      </w:pPr>
      <w:r>
        <w:t>Based on this model, the following hypotheses are formulated:</w:t>
      </w:r>
    </w:p>
    <w:p w14:paraId="6C810761" w14:textId="67A05A0F" w:rsidR="003D6659" w:rsidRDefault="003D6659" w:rsidP="003D6659">
      <w:pPr>
        <w:pStyle w:val="NormalWeb"/>
      </w:pPr>
      <w:r>
        <w:t xml:space="preserve">H1: </w:t>
      </w:r>
      <w:r w:rsidR="00D4573F" w:rsidRPr="00D4573F">
        <w:rPr>
          <w:i/>
          <w:iCs/>
        </w:rPr>
        <w:t>LS</w:t>
      </w:r>
      <w:r w:rsidR="00EB0542">
        <w:rPr>
          <w:i/>
          <w:iCs/>
        </w:rPr>
        <w:t xml:space="preserve"> using comics</w:t>
      </w:r>
      <w:r w:rsidR="00D4573F" w:rsidRPr="00D4573F">
        <w:rPr>
          <w:i/>
          <w:iCs/>
        </w:rPr>
        <w:t xml:space="preserve"> </w:t>
      </w:r>
      <w:r w:rsidRPr="00D4573F">
        <w:rPr>
          <w:i/>
          <w:iCs/>
        </w:rPr>
        <w:t>significantly and positively influence student learning motivation</w:t>
      </w:r>
      <w:r w:rsidR="00D4573F" w:rsidRPr="00D4573F">
        <w:rPr>
          <w:i/>
          <w:iCs/>
        </w:rPr>
        <w:t xml:space="preserve"> (LM)</w:t>
      </w:r>
      <w:r w:rsidRPr="00D4573F">
        <w:rPr>
          <w:i/>
          <w:iCs/>
        </w:rPr>
        <w:t>.</w:t>
      </w:r>
      <w:r>
        <w:t xml:space="preserve"> </w:t>
      </w:r>
    </w:p>
    <w:p w14:paraId="2D05071B" w14:textId="30AE401A" w:rsidR="003D6659" w:rsidRDefault="003D6659" w:rsidP="003D6659">
      <w:pPr>
        <w:pStyle w:val="NormalWeb"/>
      </w:pPr>
      <w:r>
        <w:t xml:space="preserve">H2: </w:t>
      </w:r>
      <w:r w:rsidR="00D4573F" w:rsidRPr="00D4573F">
        <w:rPr>
          <w:i/>
          <w:iCs/>
        </w:rPr>
        <w:t xml:space="preserve">DCM </w:t>
      </w:r>
      <w:r w:rsidRPr="00D4573F">
        <w:rPr>
          <w:i/>
          <w:iCs/>
        </w:rPr>
        <w:t xml:space="preserve">have a significant positive impact on </w:t>
      </w:r>
      <w:r w:rsidR="00D4573F" w:rsidRPr="00D4573F">
        <w:rPr>
          <w:i/>
          <w:iCs/>
        </w:rPr>
        <w:t>LM</w:t>
      </w:r>
      <w:r w:rsidRPr="00D4573F">
        <w:rPr>
          <w:i/>
          <w:iCs/>
        </w:rPr>
        <w:t>.</w:t>
      </w:r>
      <w:r>
        <w:t xml:space="preserve"> </w:t>
      </w:r>
    </w:p>
    <w:p w14:paraId="34EE5BD2" w14:textId="5215962D" w:rsidR="003D6659" w:rsidRDefault="003D6659" w:rsidP="003D6659">
      <w:pPr>
        <w:pStyle w:val="NormalWeb"/>
      </w:pPr>
      <w:r>
        <w:t xml:space="preserve">H3: </w:t>
      </w:r>
      <w:r w:rsidR="00D4573F" w:rsidRPr="00D4573F">
        <w:rPr>
          <w:i/>
          <w:iCs/>
        </w:rPr>
        <w:t>LM</w:t>
      </w:r>
      <w:r w:rsidRPr="00D4573F">
        <w:rPr>
          <w:i/>
          <w:iCs/>
        </w:rPr>
        <w:t xml:space="preserve"> is a strong positive predictor of material mastery in informatics</w:t>
      </w:r>
      <w:r w:rsidR="00D4573F" w:rsidRPr="00D4573F">
        <w:rPr>
          <w:i/>
          <w:iCs/>
        </w:rPr>
        <w:t xml:space="preserve"> of CC</w:t>
      </w:r>
      <w:r w:rsidRPr="00D4573F">
        <w:rPr>
          <w:i/>
          <w:iCs/>
        </w:rPr>
        <w:t>.</w:t>
      </w:r>
      <w:r>
        <w:t xml:space="preserve"> </w:t>
      </w:r>
    </w:p>
    <w:p w14:paraId="7F0C9DF0" w14:textId="725B2EDB" w:rsidR="00EE6DD4" w:rsidRDefault="003D6659" w:rsidP="003D6659">
      <w:pPr>
        <w:pStyle w:val="NormalWeb"/>
      </w:pPr>
      <w:r>
        <w:t xml:space="preserve">H4: </w:t>
      </w:r>
      <w:r w:rsidR="00D4573F" w:rsidRPr="00AD546B">
        <w:rPr>
          <w:i/>
          <w:iCs/>
        </w:rPr>
        <w:t>LM</w:t>
      </w:r>
      <w:r w:rsidRPr="00AD546B">
        <w:rPr>
          <w:i/>
          <w:iCs/>
        </w:rPr>
        <w:t xml:space="preserve"> serves as a significant mediator between </w:t>
      </w:r>
      <w:r w:rsidR="00D4573F" w:rsidRPr="00AD546B">
        <w:rPr>
          <w:i/>
          <w:iCs/>
        </w:rPr>
        <w:t>DM</w:t>
      </w:r>
      <w:r w:rsidR="00642F14">
        <w:rPr>
          <w:i/>
          <w:iCs/>
        </w:rPr>
        <w:t>M</w:t>
      </w:r>
      <w:r w:rsidR="00D4573F" w:rsidRPr="00AD546B">
        <w:rPr>
          <w:i/>
          <w:iCs/>
        </w:rPr>
        <w:t xml:space="preserve"> </w:t>
      </w:r>
      <w:r w:rsidRPr="00AD546B">
        <w:rPr>
          <w:i/>
          <w:iCs/>
        </w:rPr>
        <w:t xml:space="preserve">interventions and students' technical </w:t>
      </w:r>
      <w:r w:rsidR="00D4573F" w:rsidRPr="00AD546B">
        <w:rPr>
          <w:i/>
          <w:iCs/>
        </w:rPr>
        <w:t>CC</w:t>
      </w:r>
      <w:r>
        <w:t xml:space="preserve">. </w:t>
      </w:r>
    </w:p>
    <w:p w14:paraId="104C9156" w14:textId="4ACEC09A" w:rsidR="00902A28" w:rsidRDefault="00902A28" w:rsidP="00902A28">
      <w:pPr>
        <w:pStyle w:val="Heading1"/>
      </w:pPr>
      <w:r>
        <w:lastRenderedPageBreak/>
        <w:t>Methodology</w:t>
      </w:r>
    </w:p>
    <w:p w14:paraId="6DD69A0A" w14:textId="1BEB98D8" w:rsidR="00902A28" w:rsidRDefault="00014B3C" w:rsidP="003F6BE2">
      <w:pPr>
        <w:pStyle w:val="Heading2"/>
      </w:pPr>
      <w:r w:rsidRPr="00014B3C">
        <w:t>Research Design and Participants</w:t>
      </w:r>
    </w:p>
    <w:p w14:paraId="561C679D" w14:textId="6311649C" w:rsidR="00014B3C" w:rsidRDefault="00014B3C" w:rsidP="00014B3C">
      <w:pPr>
        <w:pStyle w:val="NormalWeb"/>
      </w:pPr>
      <w:r>
        <w:t>This study employed a quasi-experimental research design</w:t>
      </w:r>
      <w:r w:rsidR="00720472">
        <w:t xml:space="preserve"> </w:t>
      </w:r>
      <w:r w:rsidR="00720472">
        <w:fldChar w:fldCharType="begin"/>
      </w:r>
      <w:r w:rsidR="00720472">
        <w:instrText xml:space="preserve"> ADDIN ZOTERO_ITEM CSL_CITATION {"citationID":"iyIrrXkp","properties":{"unsorted":false,"formattedCitation":"(Cook, 2015)","plainCitation":"(Cook, 2015)","noteIndex":0},"citationItems":[{"id":353,"uris":["http://zotero.org/users/local/zqnAJ6Wa/items/HT4M9Y7G"],"itemData":{"id":353,"type":"article-journal","abstract":"Abstract Quasi‐experiments usually test the causal consequences of long‐lasting treatments outside of the laboratory. But unlike “true” experiments where treatment assignment is at random, assignment in quasi‐experiments is by self‐selection or administrator judgment.","container-title":"Wiley Encyclopedia of Management","DOI":"10.1002/9781118785317.weom110227","page":"1-2","title":"Quasi‐Experimental Design","author":[{"family":"Cook","given":"Thomas D."}],"issued":{"date-parts":[["2015",1,21]]}}}],"schema":"https://github.com/citation-style-language/schema/raw/master/csl-citation.json"} </w:instrText>
      </w:r>
      <w:r w:rsidR="00720472">
        <w:fldChar w:fldCharType="separate"/>
      </w:r>
      <w:r w:rsidR="00720472">
        <w:rPr>
          <w:noProof/>
        </w:rPr>
        <w:t>(Cook, 2015)</w:t>
      </w:r>
      <w:r w:rsidR="00720472">
        <w:fldChar w:fldCharType="end"/>
      </w:r>
      <w:r>
        <w:t>, specifically utilizing the one-group pre-test post-test method</w:t>
      </w:r>
      <w:r w:rsidR="00720472">
        <w:t xml:space="preserve"> </w:t>
      </w:r>
      <w:r w:rsidR="00720472">
        <w:fldChar w:fldCharType="begin"/>
      </w:r>
      <w:r w:rsidR="00720472">
        <w:instrText xml:space="preserve"> ADDIN ZOTERO_ITEM CSL_CITATION {"citationID":"ZdyF6qHH","properties":{"unsorted":false,"formattedCitation":"(Roberts, 2020)","plainCitation":"(Roberts, 2020)","noteIndex":0},"citationItems":[{"id":354,"uris":["http://zotero.org/users/local/zqnAJ6Wa/items/QBZKKUBF"],"itemData":{"id":354,"type":"article-journal","abstract":"Analyses of trials of group administered treatments require an identifier for therapy group to account for clustering by group. All patients randomized to receive the group administered treatment could be assigned an intended group identifier following randomization. Alternatively, an actual group could be based on those patients that comply with group therapy. We investigate the implications for intention-to-treat (ITT) analyses of using either the intended or actual group to adjust for the clustering effect. We also consider causal models using the actual group. A simulation study showed that ITT estimates based on random effects models or GEE with an exchangeable correlation matrix performed much better when using the intended group than the actual group. OLS with robust standard errors performed well with both. Most compliance average causal effect (CACE) models performed well. While practical constraints of the clinical setting may determine the choice between an intended or actual group analyses, it is desirable to record both. An ITT analysis using mixed models can then be fitted using the intended group with data generation assumptions checked by a causal model using the actual group. Where an ITT analysis is based on the actual group, worse outcome for never-takers than compliers may allow one to infer that some estimators are biased toward no treatment effect. The work here is motivated and illustrated by a trial of a group therapy, but also has relevance to trials with treatment related clustering due to therapist examples of which include physical and talking therapies or surgery.","archive_location":"33118193","container-title":"Statistics in Medicine","DOI":"10.1002/sim.8778","ISSN":"0277-6715","issue":"2","page":"349-368","publisher":"Wiley","title":"The implications of noncompliance for randomized trials with partial nesting due to group treatment","volume":"40","author":[{"family":"Roberts","given":"Chris"}],"issued":{"date-parts":[["2020",10,28]]}}}],"schema":"https://github.com/citation-style-language/schema/raw/master/csl-citation.json"} </w:instrText>
      </w:r>
      <w:r w:rsidR="00720472">
        <w:fldChar w:fldCharType="separate"/>
      </w:r>
      <w:r w:rsidR="00720472">
        <w:rPr>
          <w:noProof/>
        </w:rPr>
        <w:t>(Roberts, 2020)</w:t>
      </w:r>
      <w:r w:rsidR="00720472">
        <w:fldChar w:fldCharType="end"/>
      </w:r>
      <w:r>
        <w:t>. This design is particularly suitable for educational interventions where a control group is not feasible, allowing for an accurate comparison of student outcomes before and after the introduction of digital comic media. By conducting pre-tests and post-tests on the same group of participants, the researcher can measure the direct effect of the treatment on the dependent variables more precisely. The experimental process followed a structured three-step model: assessing initial comprehension through a pre-test, providing the digital comic treatment, and evaluating the final comprehension via a post-test. This systematic approach ensures that any significant changes in student performance can be statistically attributed to the learning intervention. Several studies employing similar quasi-experimental designs, such as the nonequivalent control group design or posttest-pretest control group design, have demonstrated the efficacy of digital comic interventions in educational settings by comparing experimental and control groups</w:t>
      </w:r>
      <w:r w:rsidR="00F577F7">
        <w:t xml:space="preserve"> </w:t>
      </w:r>
      <w:r w:rsidR="00F577F7">
        <w:fldChar w:fldCharType="begin"/>
      </w:r>
      <w:r w:rsidR="006A1491">
        <w:instrText xml:space="preserve"> ADDIN ZOTERO_ITEM CSL_CITATION {"citationID":"OP4ghTHj","properties":{"unsorted":false,"formattedCitation":"(Laksana et al., 2024; Rizkiyah et al., 2025)","plainCitation":"(Laksana et al., 2024; Rizkiyah et al., 2025)","noteIndex":0},"citationItems":[{"id":355,"uris":["http://zotero.org/users/local/zqnAJ6Wa/items/H8A9P7EW"],"itemData":{"id":355,"type":"article-journal","abstract":"Comics multiplying must become the center of attention for educators, especially educators at the elementary school (SD) level. Seeing this, the world of education began to approach the comic media. Comic media has already started to be developed in the field of education, an expert in psychology who is famous for behavioristic theory, Edward Lee Thorndike, has researched comics, the results of this study reveal that a child is accustomed to reading comic books more than usual, for example within one month, the child reads a minimum of 1 comic book, this is the same as the child reading several textbooks every year, of course, this will affect reading skills/abilities for children and will increase mastery and vocabulary which is far more than usual. A child who doesn't like reading comics. It is by the expression. One picture is worth a thousand words, meaning that one image has the same value as a thousand words. Educational comic media is an innovative media that can be used as an alternative media to overcome learning difficulties for children, primarily covering matters related to material interests and understanding. Based on the distribution of learning outcomes in the experimental class, which obtained an average value of 73.79 (high) learning outcomes. While the results of the distribution of learning outcomes for the control class received an average value of learning outcomes of 47.75 (moderate). Based on the research conducted, the researcher obtained a value (Sig. (2-tailed)) of 0.000 &amp;lt;0.05, which means that comic strip media has a significant effect on student learning outcomes.","container-title":"E3S Web of Conferences","DOI":"10.1051/e3sconf/202450005006","ISSN":"2267-1242","page":"5006-5006","publisher":"EDP Sciences","title":"Comic Strip Media Assisted by Digital Gamification: Increasing Student Behavior Targets and User Engagement in the Learning Process","volume":"500","author":[{"family":"Laksana","given":"Sigit Dwi"},{"family":"Ariyanto","given":"Ayok"},{"family":"Tajab","given":"Moh."},{"family":"Syam","given":"Aldo Redho"},{"family":"Sumaryanti","given":"Lilis"}],"issued":{"date-parts":[["2024",1,1]]}}},{"id":356,"uris":["http://zotero.org/users/local/zqnAJ6Wa/items/KT8V7E3Q"],"itemData":{"id":356,"type":"article-journal","abstract":"This study aims to determine the effect of digital comic-based learning models on science learning outcomes. This research uses Quantitative, quasi-experimental methods with a research design of nonequivalent control group design. The population in this study were grade VI students of SDN 1 Japurabakti in 2024/2025. The sample used was 38 students from class VI SDN 1 Japurabakti. The research instrument used an essay test consisting of 10 questions about students' understanding of science lessons and a student response questionnaire consisting of interesting aspects, aspects of convenience and aspects of achieving learning objectives. Data processing techniques using normality test, homogeneity test, paired sample t-test, independent sample t-test and N-Gain test. The results showed that the application of digital comic media based on WEBTOON applications with the theme of earth friend comics implemented learning with 2 class groups, namely experimental classes and control classes. The experimental class that applied digital comic media with the results of student responses amounted to 89.5% with a very positive category. While the results of student tests show an increase in student science learning outcomes with the average pretest and posttest scores of the experimental class from 50.2 to 67.7 with an N-Gain of 0.22 including in the medium category. While based on the results of the science lesson understanding test, students experienced an increase in each indicator with a pretest average value of 50.5 and a posttest average value of 74.2 with a moderate category. The results showed that there was an effect of the digital Comics learning model on the science learning outcomes of students.","container-title":"JURNAL ILMIAH GLOBAL EDUCATION","DOI":"10.55681/jige.v6i4.4471","ISSN":"2723-4665","issue":"4","page":"2370-2384","title":"The Effect of Using Digital Comics on Science Learning Outcomes of Grade VI SDN 1 Japurabakti","volume":"6","author":[{"family":"Rizkiyah","given":"Rizkiyah"},{"family":"Nurkholis","given":"Nurkholis"},{"family":"Setiana","given":"Diana"}],"issued":{"date-parts":[["2025",10,31]]}}}],"schema":"https://github.com/citation-style-language/schema/raw/master/csl-citation.json"} </w:instrText>
      </w:r>
      <w:r w:rsidR="00F577F7">
        <w:fldChar w:fldCharType="separate"/>
      </w:r>
      <w:r w:rsidR="006A1491">
        <w:rPr>
          <w:noProof/>
        </w:rPr>
        <w:t>(Laksana et al., 2024; Rizkiyah et al., 2025)</w:t>
      </w:r>
      <w:r w:rsidR="00F577F7">
        <w:fldChar w:fldCharType="end"/>
      </w:r>
      <w:r>
        <w:t xml:space="preserve">. </w:t>
      </w:r>
    </w:p>
    <w:p w14:paraId="6E1D7C86" w14:textId="4E544EB5" w:rsidR="00014B3C" w:rsidRDefault="00014B3C" w:rsidP="00720472">
      <w:pPr>
        <w:pStyle w:val="NormalWeb"/>
      </w:pPr>
      <w:r>
        <w:t xml:space="preserve">The participants for this experiment consisted of 26 students currently enrolled in the 7th grade at a junior high school in Central Java as provided in Table </w:t>
      </w:r>
      <w:r w:rsidR="006A1491">
        <w:t>1</w:t>
      </w:r>
      <w:r>
        <w:t>. The selection of this specific grade was based on the students' developmental stage and its alignment with the fundamental technical concepts presented in the informatics curriculum. The gender distribution within the group was perfectly balanced, comprising 50% male and 50% female students to ensure a representative sample of the student body. All participants shared a similar learning environment and academic background, which helps minimize external variance in the experimental results. This demographic consistency is vital for obtaining valid data regarding the effectiveness of visual narratives in a classroom setting.</w:t>
      </w:r>
    </w:p>
    <w:p w14:paraId="17747A52" w14:textId="1CDD5FBC" w:rsidR="006A1491" w:rsidRPr="00014B3C" w:rsidRDefault="006A1491" w:rsidP="00720472">
      <w:pPr>
        <w:pStyle w:val="NormalWeb"/>
      </w:pPr>
      <w:r>
        <w:t>Table 1. Participant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106"/>
        <w:gridCol w:w="1161"/>
        <w:gridCol w:w="1606"/>
      </w:tblGrid>
      <w:tr w:rsidR="006C3D2F" w:rsidRPr="006C3D2F" w14:paraId="7F04EFBD" w14:textId="77777777" w:rsidTr="006C3D2F">
        <w:trPr>
          <w:trHeight w:val="260"/>
        </w:trPr>
        <w:tc>
          <w:tcPr>
            <w:tcW w:w="0" w:type="auto"/>
            <w:noWrap/>
            <w:vAlign w:val="bottom"/>
            <w:hideMark/>
          </w:tcPr>
          <w:p w14:paraId="77C2E0A3" w14:textId="77777777" w:rsidR="006C3D2F" w:rsidRPr="006C3D2F" w:rsidRDefault="006C3D2F" w:rsidP="006C3D2F">
            <w:pPr>
              <w:rPr>
                <w:rFonts w:ascii="Arial" w:hAnsi="Arial" w:cs="Arial"/>
                <w:color w:val="000000"/>
                <w:sz w:val="20"/>
                <w:szCs w:val="20"/>
              </w:rPr>
            </w:pPr>
            <w:r w:rsidRPr="006C3D2F">
              <w:rPr>
                <w:rFonts w:ascii="Arial" w:hAnsi="Arial" w:cs="Arial"/>
                <w:color w:val="000000"/>
                <w:sz w:val="20"/>
                <w:szCs w:val="20"/>
              </w:rPr>
              <w:t>Category</w:t>
            </w:r>
          </w:p>
        </w:tc>
        <w:tc>
          <w:tcPr>
            <w:tcW w:w="0" w:type="auto"/>
            <w:noWrap/>
            <w:vAlign w:val="bottom"/>
            <w:hideMark/>
          </w:tcPr>
          <w:p w14:paraId="0A30B91D" w14:textId="488C7400" w:rsidR="006C3D2F" w:rsidRPr="006C3D2F" w:rsidRDefault="006C3D2F" w:rsidP="006C3D2F">
            <w:pPr>
              <w:rPr>
                <w:rFonts w:ascii="Arial" w:hAnsi="Arial" w:cs="Arial"/>
                <w:color w:val="000000"/>
                <w:sz w:val="20"/>
                <w:szCs w:val="20"/>
              </w:rPr>
            </w:pPr>
          </w:p>
        </w:tc>
        <w:tc>
          <w:tcPr>
            <w:tcW w:w="0" w:type="auto"/>
            <w:noWrap/>
            <w:vAlign w:val="bottom"/>
            <w:hideMark/>
          </w:tcPr>
          <w:p w14:paraId="0A3A5698" w14:textId="77777777" w:rsidR="006C3D2F" w:rsidRPr="006C3D2F" w:rsidRDefault="006C3D2F" w:rsidP="006C3D2F">
            <w:pPr>
              <w:rPr>
                <w:rFonts w:ascii="Arial" w:hAnsi="Arial" w:cs="Arial"/>
                <w:color w:val="000000"/>
                <w:sz w:val="20"/>
                <w:szCs w:val="20"/>
              </w:rPr>
            </w:pPr>
            <w:r w:rsidRPr="006C3D2F">
              <w:rPr>
                <w:rFonts w:ascii="Arial" w:hAnsi="Arial" w:cs="Arial"/>
                <w:color w:val="000000"/>
                <w:sz w:val="20"/>
                <w:szCs w:val="20"/>
              </w:rPr>
              <w:t>Frequency</w:t>
            </w:r>
          </w:p>
        </w:tc>
        <w:tc>
          <w:tcPr>
            <w:tcW w:w="0" w:type="auto"/>
            <w:noWrap/>
            <w:vAlign w:val="bottom"/>
            <w:hideMark/>
          </w:tcPr>
          <w:p w14:paraId="7B18BC83" w14:textId="77777777" w:rsidR="006C3D2F" w:rsidRPr="006C3D2F" w:rsidRDefault="006C3D2F" w:rsidP="006C3D2F">
            <w:pPr>
              <w:rPr>
                <w:rFonts w:ascii="Arial" w:hAnsi="Arial" w:cs="Arial"/>
                <w:color w:val="000000"/>
                <w:sz w:val="20"/>
                <w:szCs w:val="20"/>
              </w:rPr>
            </w:pPr>
            <w:r w:rsidRPr="006C3D2F">
              <w:rPr>
                <w:rFonts w:ascii="Arial" w:hAnsi="Arial" w:cs="Arial"/>
                <w:color w:val="000000"/>
                <w:sz w:val="20"/>
                <w:szCs w:val="20"/>
              </w:rPr>
              <w:t>Percentage (%)</w:t>
            </w:r>
          </w:p>
        </w:tc>
      </w:tr>
      <w:tr w:rsidR="006C3D2F" w:rsidRPr="006C3D2F" w14:paraId="111D8AF9" w14:textId="77777777" w:rsidTr="006C3D2F">
        <w:trPr>
          <w:trHeight w:val="260"/>
        </w:trPr>
        <w:tc>
          <w:tcPr>
            <w:tcW w:w="0" w:type="auto"/>
            <w:noWrap/>
            <w:vAlign w:val="bottom"/>
            <w:hideMark/>
          </w:tcPr>
          <w:p w14:paraId="7B6E1321" w14:textId="77777777" w:rsidR="006C3D2F" w:rsidRPr="006C3D2F" w:rsidRDefault="006C3D2F" w:rsidP="006C3D2F">
            <w:pPr>
              <w:rPr>
                <w:rFonts w:ascii="Arial" w:hAnsi="Arial" w:cs="Arial"/>
                <w:color w:val="000000"/>
                <w:sz w:val="20"/>
                <w:szCs w:val="20"/>
              </w:rPr>
            </w:pPr>
            <w:r w:rsidRPr="006C3D2F">
              <w:rPr>
                <w:rFonts w:ascii="Arial" w:hAnsi="Arial" w:cs="Arial"/>
                <w:color w:val="000000"/>
                <w:sz w:val="20"/>
                <w:szCs w:val="20"/>
              </w:rPr>
              <w:t>Gender</w:t>
            </w:r>
          </w:p>
        </w:tc>
        <w:tc>
          <w:tcPr>
            <w:tcW w:w="0" w:type="auto"/>
            <w:noWrap/>
            <w:vAlign w:val="bottom"/>
            <w:hideMark/>
          </w:tcPr>
          <w:p w14:paraId="48E0C15D" w14:textId="77777777" w:rsidR="006C3D2F" w:rsidRPr="006C3D2F" w:rsidRDefault="006C3D2F" w:rsidP="00433151">
            <w:pPr>
              <w:rPr>
                <w:rFonts w:ascii="Arial" w:hAnsi="Arial" w:cs="Arial"/>
                <w:color w:val="000000"/>
                <w:sz w:val="20"/>
                <w:szCs w:val="20"/>
              </w:rPr>
            </w:pPr>
            <w:r w:rsidRPr="006C3D2F">
              <w:rPr>
                <w:rFonts w:ascii="Arial" w:hAnsi="Arial" w:cs="Arial"/>
                <w:color w:val="000000"/>
                <w:sz w:val="20"/>
                <w:szCs w:val="20"/>
              </w:rPr>
              <w:t>Male</w:t>
            </w:r>
          </w:p>
        </w:tc>
        <w:tc>
          <w:tcPr>
            <w:tcW w:w="0" w:type="auto"/>
            <w:noWrap/>
            <w:vAlign w:val="bottom"/>
            <w:hideMark/>
          </w:tcPr>
          <w:p w14:paraId="7166E7AC" w14:textId="2A0EE11F" w:rsidR="006C3D2F" w:rsidRPr="006C3D2F" w:rsidRDefault="006C3D2F" w:rsidP="006C3D2F">
            <w:pPr>
              <w:jc w:val="right"/>
              <w:rPr>
                <w:rFonts w:ascii="Arial" w:hAnsi="Arial" w:cs="Arial"/>
                <w:color w:val="000000"/>
                <w:sz w:val="20"/>
                <w:szCs w:val="20"/>
              </w:rPr>
            </w:pPr>
            <w:r w:rsidRPr="006C3D2F">
              <w:rPr>
                <w:rFonts w:ascii="Arial" w:hAnsi="Arial" w:cs="Arial"/>
                <w:color w:val="000000"/>
                <w:sz w:val="20"/>
                <w:szCs w:val="20"/>
              </w:rPr>
              <w:t>1</w:t>
            </w:r>
            <w:r w:rsidR="00981D10">
              <w:rPr>
                <w:rFonts w:ascii="Arial" w:hAnsi="Arial" w:cs="Arial"/>
                <w:color w:val="000000"/>
                <w:sz w:val="20"/>
                <w:szCs w:val="20"/>
              </w:rPr>
              <w:t>8</w:t>
            </w:r>
          </w:p>
        </w:tc>
        <w:tc>
          <w:tcPr>
            <w:tcW w:w="0" w:type="auto"/>
            <w:noWrap/>
            <w:vAlign w:val="bottom"/>
            <w:hideMark/>
          </w:tcPr>
          <w:p w14:paraId="13D297FD" w14:textId="77777777" w:rsidR="006C3D2F" w:rsidRPr="006C3D2F" w:rsidRDefault="006C3D2F" w:rsidP="006C3D2F">
            <w:pPr>
              <w:jc w:val="right"/>
              <w:rPr>
                <w:rFonts w:ascii="Arial" w:hAnsi="Arial" w:cs="Arial"/>
                <w:color w:val="000000"/>
                <w:sz w:val="20"/>
                <w:szCs w:val="20"/>
              </w:rPr>
            </w:pPr>
            <w:r w:rsidRPr="006C3D2F">
              <w:rPr>
                <w:rFonts w:ascii="Arial" w:hAnsi="Arial" w:cs="Arial"/>
                <w:color w:val="000000"/>
                <w:sz w:val="20"/>
                <w:szCs w:val="20"/>
              </w:rPr>
              <w:t>50%</w:t>
            </w:r>
          </w:p>
        </w:tc>
      </w:tr>
      <w:tr w:rsidR="003F07A3" w:rsidRPr="006C3D2F" w14:paraId="7367ED74" w14:textId="77777777" w:rsidTr="003F07A3">
        <w:trPr>
          <w:trHeight w:val="260"/>
        </w:trPr>
        <w:tc>
          <w:tcPr>
            <w:tcW w:w="0" w:type="auto"/>
            <w:noWrap/>
            <w:vAlign w:val="bottom"/>
          </w:tcPr>
          <w:p w14:paraId="35691F91" w14:textId="36D279CE" w:rsidR="003F07A3" w:rsidRPr="006C3D2F" w:rsidRDefault="003F07A3" w:rsidP="003F07A3">
            <w:pPr>
              <w:rPr>
                <w:rFonts w:ascii="Arial" w:hAnsi="Arial" w:cs="Arial"/>
                <w:color w:val="000000"/>
                <w:sz w:val="20"/>
                <w:szCs w:val="20"/>
              </w:rPr>
            </w:pPr>
          </w:p>
        </w:tc>
        <w:tc>
          <w:tcPr>
            <w:tcW w:w="0" w:type="auto"/>
            <w:noWrap/>
            <w:vAlign w:val="bottom"/>
          </w:tcPr>
          <w:p w14:paraId="1CECBE7E" w14:textId="5CE8128B" w:rsidR="003F07A3" w:rsidRPr="006C3D2F" w:rsidRDefault="003F07A3" w:rsidP="00433151">
            <w:pPr>
              <w:rPr>
                <w:rFonts w:ascii="Arial" w:hAnsi="Arial" w:cs="Arial"/>
                <w:color w:val="000000"/>
                <w:sz w:val="20"/>
                <w:szCs w:val="20"/>
              </w:rPr>
            </w:pPr>
            <w:r w:rsidRPr="006C3D2F">
              <w:rPr>
                <w:rFonts w:ascii="Arial" w:hAnsi="Arial" w:cs="Arial"/>
                <w:color w:val="000000"/>
                <w:sz w:val="20"/>
                <w:szCs w:val="20"/>
              </w:rPr>
              <w:t>Female</w:t>
            </w:r>
          </w:p>
        </w:tc>
        <w:tc>
          <w:tcPr>
            <w:tcW w:w="0" w:type="auto"/>
            <w:noWrap/>
            <w:vAlign w:val="bottom"/>
          </w:tcPr>
          <w:p w14:paraId="41549FD2" w14:textId="68037AC8" w:rsidR="003F07A3" w:rsidRPr="006C3D2F" w:rsidRDefault="003F07A3" w:rsidP="003F07A3">
            <w:pPr>
              <w:jc w:val="right"/>
              <w:rPr>
                <w:rFonts w:ascii="Arial" w:hAnsi="Arial" w:cs="Arial"/>
                <w:color w:val="000000"/>
                <w:sz w:val="20"/>
                <w:szCs w:val="20"/>
              </w:rPr>
            </w:pPr>
            <w:r w:rsidRPr="006C3D2F">
              <w:rPr>
                <w:rFonts w:ascii="Arial" w:hAnsi="Arial" w:cs="Arial"/>
                <w:color w:val="000000"/>
                <w:sz w:val="20"/>
                <w:szCs w:val="20"/>
              </w:rPr>
              <w:t>1</w:t>
            </w:r>
            <w:r w:rsidR="00981D10">
              <w:rPr>
                <w:rFonts w:ascii="Arial" w:hAnsi="Arial" w:cs="Arial"/>
                <w:color w:val="000000"/>
                <w:sz w:val="20"/>
                <w:szCs w:val="20"/>
              </w:rPr>
              <w:t>8</w:t>
            </w:r>
          </w:p>
        </w:tc>
        <w:tc>
          <w:tcPr>
            <w:tcW w:w="0" w:type="auto"/>
            <w:noWrap/>
            <w:vAlign w:val="bottom"/>
            <w:hideMark/>
          </w:tcPr>
          <w:p w14:paraId="66841008" w14:textId="2B0BF407" w:rsidR="003F07A3" w:rsidRPr="006C3D2F" w:rsidRDefault="003F07A3" w:rsidP="003F07A3">
            <w:pPr>
              <w:jc w:val="right"/>
              <w:rPr>
                <w:rFonts w:ascii="Arial" w:hAnsi="Arial" w:cs="Arial"/>
                <w:color w:val="000000"/>
                <w:sz w:val="20"/>
                <w:szCs w:val="20"/>
              </w:rPr>
            </w:pPr>
            <w:r w:rsidRPr="006C3D2F">
              <w:rPr>
                <w:rFonts w:ascii="Arial" w:hAnsi="Arial" w:cs="Arial"/>
                <w:color w:val="000000"/>
                <w:sz w:val="20"/>
                <w:szCs w:val="20"/>
              </w:rPr>
              <w:t>50%</w:t>
            </w:r>
          </w:p>
        </w:tc>
      </w:tr>
      <w:tr w:rsidR="003F07A3" w:rsidRPr="006C3D2F" w14:paraId="06189810" w14:textId="77777777" w:rsidTr="006C3D2F">
        <w:trPr>
          <w:trHeight w:val="260"/>
        </w:trPr>
        <w:tc>
          <w:tcPr>
            <w:tcW w:w="0" w:type="auto"/>
            <w:noWrap/>
            <w:vAlign w:val="bottom"/>
            <w:hideMark/>
          </w:tcPr>
          <w:p w14:paraId="750D6037" w14:textId="77777777" w:rsidR="003F07A3" w:rsidRPr="006C3D2F" w:rsidRDefault="003F07A3" w:rsidP="003F07A3">
            <w:pPr>
              <w:rPr>
                <w:rFonts w:ascii="Arial" w:hAnsi="Arial" w:cs="Arial"/>
                <w:color w:val="000000"/>
                <w:sz w:val="20"/>
                <w:szCs w:val="20"/>
              </w:rPr>
            </w:pPr>
            <w:r w:rsidRPr="006C3D2F">
              <w:rPr>
                <w:rFonts w:ascii="Arial" w:hAnsi="Arial" w:cs="Arial"/>
                <w:color w:val="000000"/>
                <w:sz w:val="20"/>
                <w:szCs w:val="20"/>
              </w:rPr>
              <w:t>Grade Level</w:t>
            </w:r>
          </w:p>
        </w:tc>
        <w:tc>
          <w:tcPr>
            <w:tcW w:w="0" w:type="auto"/>
            <w:noWrap/>
            <w:vAlign w:val="bottom"/>
            <w:hideMark/>
          </w:tcPr>
          <w:p w14:paraId="1D311F89" w14:textId="77777777" w:rsidR="003F07A3" w:rsidRPr="006C3D2F" w:rsidRDefault="003F07A3" w:rsidP="00433151">
            <w:pPr>
              <w:rPr>
                <w:rFonts w:ascii="Arial" w:hAnsi="Arial" w:cs="Arial"/>
                <w:color w:val="000000"/>
                <w:sz w:val="20"/>
                <w:szCs w:val="20"/>
              </w:rPr>
            </w:pPr>
            <w:r w:rsidRPr="006C3D2F">
              <w:rPr>
                <w:rFonts w:ascii="Arial" w:hAnsi="Arial" w:cs="Arial"/>
                <w:color w:val="000000"/>
                <w:sz w:val="20"/>
                <w:szCs w:val="20"/>
              </w:rPr>
              <w:t>7th Grade</w:t>
            </w:r>
          </w:p>
        </w:tc>
        <w:tc>
          <w:tcPr>
            <w:tcW w:w="0" w:type="auto"/>
            <w:noWrap/>
            <w:vAlign w:val="bottom"/>
            <w:hideMark/>
          </w:tcPr>
          <w:p w14:paraId="0093807F" w14:textId="1A5E6301" w:rsidR="003F07A3" w:rsidRPr="006C3D2F" w:rsidRDefault="00981D10" w:rsidP="003F07A3">
            <w:pPr>
              <w:jc w:val="right"/>
              <w:rPr>
                <w:rFonts w:ascii="Arial" w:hAnsi="Arial" w:cs="Arial"/>
                <w:color w:val="000000"/>
                <w:sz w:val="20"/>
                <w:szCs w:val="20"/>
              </w:rPr>
            </w:pPr>
            <w:r>
              <w:rPr>
                <w:rFonts w:ascii="Arial" w:hAnsi="Arial" w:cs="Arial"/>
                <w:color w:val="000000"/>
                <w:sz w:val="20"/>
                <w:szCs w:val="20"/>
              </w:rPr>
              <w:t>3</w:t>
            </w:r>
            <w:r w:rsidR="003F07A3" w:rsidRPr="006C3D2F">
              <w:rPr>
                <w:rFonts w:ascii="Arial" w:hAnsi="Arial" w:cs="Arial"/>
                <w:color w:val="000000"/>
                <w:sz w:val="20"/>
                <w:szCs w:val="20"/>
              </w:rPr>
              <w:t>6</w:t>
            </w:r>
          </w:p>
        </w:tc>
        <w:tc>
          <w:tcPr>
            <w:tcW w:w="0" w:type="auto"/>
            <w:noWrap/>
            <w:vAlign w:val="bottom"/>
            <w:hideMark/>
          </w:tcPr>
          <w:p w14:paraId="35B544AE" w14:textId="77777777" w:rsidR="003F07A3" w:rsidRPr="006C3D2F" w:rsidRDefault="003F07A3" w:rsidP="003F07A3">
            <w:pPr>
              <w:jc w:val="right"/>
              <w:rPr>
                <w:rFonts w:ascii="Arial" w:hAnsi="Arial" w:cs="Arial"/>
                <w:color w:val="000000"/>
                <w:sz w:val="20"/>
                <w:szCs w:val="20"/>
              </w:rPr>
            </w:pPr>
            <w:r w:rsidRPr="006C3D2F">
              <w:rPr>
                <w:rFonts w:ascii="Arial" w:hAnsi="Arial" w:cs="Arial"/>
                <w:color w:val="000000"/>
                <w:sz w:val="20"/>
                <w:szCs w:val="20"/>
              </w:rPr>
              <w:t>100%</w:t>
            </w:r>
          </w:p>
        </w:tc>
      </w:tr>
      <w:tr w:rsidR="003F07A3" w:rsidRPr="006C3D2F" w14:paraId="6275F4B9" w14:textId="77777777" w:rsidTr="006C3D2F">
        <w:trPr>
          <w:trHeight w:val="260"/>
        </w:trPr>
        <w:tc>
          <w:tcPr>
            <w:tcW w:w="0" w:type="auto"/>
            <w:noWrap/>
            <w:vAlign w:val="bottom"/>
            <w:hideMark/>
          </w:tcPr>
          <w:p w14:paraId="788E5C60" w14:textId="77777777" w:rsidR="003F07A3" w:rsidRPr="006C3D2F" w:rsidRDefault="003F07A3" w:rsidP="003F07A3">
            <w:pPr>
              <w:rPr>
                <w:rFonts w:ascii="Arial" w:hAnsi="Arial" w:cs="Arial"/>
                <w:color w:val="000000"/>
                <w:sz w:val="20"/>
                <w:szCs w:val="20"/>
              </w:rPr>
            </w:pPr>
            <w:r w:rsidRPr="006C3D2F">
              <w:rPr>
                <w:rFonts w:ascii="Arial" w:hAnsi="Arial" w:cs="Arial"/>
                <w:color w:val="000000"/>
                <w:sz w:val="20"/>
                <w:szCs w:val="20"/>
              </w:rPr>
              <w:t>Total</w:t>
            </w:r>
          </w:p>
        </w:tc>
        <w:tc>
          <w:tcPr>
            <w:tcW w:w="0" w:type="auto"/>
            <w:noWrap/>
            <w:vAlign w:val="bottom"/>
            <w:hideMark/>
          </w:tcPr>
          <w:p w14:paraId="087AC26B" w14:textId="77777777" w:rsidR="003F07A3" w:rsidRPr="006C3D2F" w:rsidRDefault="003F07A3" w:rsidP="003F07A3">
            <w:pPr>
              <w:rPr>
                <w:rFonts w:ascii="Arial" w:hAnsi="Arial" w:cs="Arial"/>
                <w:color w:val="000000"/>
                <w:sz w:val="20"/>
                <w:szCs w:val="20"/>
              </w:rPr>
            </w:pPr>
          </w:p>
        </w:tc>
        <w:tc>
          <w:tcPr>
            <w:tcW w:w="0" w:type="auto"/>
            <w:noWrap/>
            <w:vAlign w:val="bottom"/>
            <w:hideMark/>
          </w:tcPr>
          <w:p w14:paraId="688139CB" w14:textId="19BBDD33" w:rsidR="003F07A3" w:rsidRPr="006C3D2F" w:rsidRDefault="00981D10" w:rsidP="003F07A3">
            <w:pPr>
              <w:jc w:val="right"/>
              <w:rPr>
                <w:rFonts w:ascii="Arial" w:hAnsi="Arial" w:cs="Arial"/>
                <w:color w:val="000000"/>
                <w:sz w:val="20"/>
                <w:szCs w:val="20"/>
              </w:rPr>
            </w:pPr>
            <w:r>
              <w:rPr>
                <w:rFonts w:ascii="Arial" w:hAnsi="Arial" w:cs="Arial"/>
                <w:color w:val="000000"/>
                <w:sz w:val="20"/>
                <w:szCs w:val="20"/>
              </w:rPr>
              <w:t>3</w:t>
            </w:r>
            <w:r w:rsidR="003F07A3" w:rsidRPr="006C3D2F">
              <w:rPr>
                <w:rFonts w:ascii="Arial" w:hAnsi="Arial" w:cs="Arial"/>
                <w:color w:val="000000"/>
                <w:sz w:val="20"/>
                <w:szCs w:val="20"/>
              </w:rPr>
              <w:t>6</w:t>
            </w:r>
          </w:p>
        </w:tc>
        <w:tc>
          <w:tcPr>
            <w:tcW w:w="0" w:type="auto"/>
            <w:noWrap/>
            <w:vAlign w:val="bottom"/>
            <w:hideMark/>
          </w:tcPr>
          <w:p w14:paraId="4093000E" w14:textId="77777777" w:rsidR="003F07A3" w:rsidRPr="006C3D2F" w:rsidRDefault="003F07A3" w:rsidP="003F07A3">
            <w:pPr>
              <w:jc w:val="right"/>
              <w:rPr>
                <w:rFonts w:ascii="Arial" w:hAnsi="Arial" w:cs="Arial"/>
                <w:color w:val="000000"/>
                <w:sz w:val="20"/>
                <w:szCs w:val="20"/>
              </w:rPr>
            </w:pPr>
            <w:r w:rsidRPr="006C3D2F">
              <w:rPr>
                <w:rFonts w:ascii="Arial" w:hAnsi="Arial" w:cs="Arial"/>
                <w:color w:val="000000"/>
                <w:sz w:val="20"/>
                <w:szCs w:val="20"/>
              </w:rPr>
              <w:t>100%</w:t>
            </w:r>
          </w:p>
        </w:tc>
      </w:tr>
    </w:tbl>
    <w:p w14:paraId="29F01158" w14:textId="04704950" w:rsidR="00BB6060" w:rsidRDefault="006264A4" w:rsidP="00BB6060">
      <w:pPr>
        <w:pStyle w:val="Heading2"/>
      </w:pPr>
      <w:r w:rsidRPr="006264A4">
        <w:t>Data Collection and Instrumentation</w:t>
      </w:r>
    </w:p>
    <w:p w14:paraId="3F404638" w14:textId="3C02B0CD" w:rsidR="005E113D" w:rsidRDefault="00B91196" w:rsidP="005E113D">
      <w:pPr>
        <w:pStyle w:val="NormalWeb"/>
      </w:pPr>
      <w:r w:rsidRPr="00B91196">
        <w:t>Data collection was conducted using digital questionnaires and performance tests administered through Google Forms to ensure efficiency and accuracy. The instruments were designed to measure four latent variables: Learning Strategies (LS), Digital Comics Media (DCM), Learning Motivation (LM), and Computer Comprehension (CC).</w:t>
      </w:r>
      <w:r w:rsidR="00CF26BE">
        <w:t xml:space="preserve"> The detail questions of the questionnaire is provided in Table 2.</w:t>
      </w:r>
      <w:r w:rsidRPr="00B91196">
        <w:t xml:space="preserve"> A four-point Likert scale (Strongly Disagree to Strongly Agree) was utilized for the questionnaire items to gauge student perceptions and psychological drive.</w:t>
      </w:r>
    </w:p>
    <w:p w14:paraId="6016B563" w14:textId="13DBC40D" w:rsidR="00766BB5" w:rsidRDefault="00766BB5" w:rsidP="005E113D">
      <w:pPr>
        <w:pStyle w:val="NormalWeb"/>
      </w:pPr>
      <w:r>
        <w:lastRenderedPageBreak/>
        <w:t xml:space="preserve">Table 2. </w:t>
      </w:r>
      <w:r w:rsidR="00AB12F0" w:rsidRPr="00AB12F0">
        <w:t xml:space="preserve">Instrument </w:t>
      </w:r>
      <w:r w:rsidR="0048174B" w:rsidRPr="00AB12F0">
        <w:t>measurement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799"/>
        <w:gridCol w:w="6378"/>
      </w:tblGrid>
      <w:tr w:rsidR="0083456C" w:rsidRPr="0083456C" w14:paraId="0EF1493F" w14:textId="77777777" w:rsidTr="0083456C">
        <w:trPr>
          <w:trHeight w:val="260"/>
        </w:trPr>
        <w:tc>
          <w:tcPr>
            <w:tcW w:w="2173" w:type="dxa"/>
            <w:noWrap/>
            <w:vAlign w:val="bottom"/>
            <w:hideMark/>
          </w:tcPr>
          <w:p w14:paraId="4EC0ED21" w14:textId="77777777" w:rsidR="0083456C" w:rsidRPr="0083456C" w:rsidRDefault="0083456C" w:rsidP="0083456C">
            <w:pPr>
              <w:rPr>
                <w:rFonts w:ascii="Arial" w:hAnsi="Arial" w:cs="Arial"/>
                <w:b/>
                <w:bCs/>
                <w:color w:val="000000"/>
                <w:sz w:val="18"/>
                <w:szCs w:val="18"/>
              </w:rPr>
            </w:pPr>
            <w:r w:rsidRPr="0083456C">
              <w:rPr>
                <w:rFonts w:ascii="Arial" w:hAnsi="Arial" w:cs="Arial"/>
                <w:b/>
                <w:bCs/>
                <w:color w:val="000000"/>
                <w:sz w:val="18"/>
                <w:szCs w:val="18"/>
              </w:rPr>
              <w:t>Variable</w:t>
            </w:r>
          </w:p>
        </w:tc>
        <w:tc>
          <w:tcPr>
            <w:tcW w:w="799" w:type="dxa"/>
            <w:noWrap/>
            <w:vAlign w:val="bottom"/>
            <w:hideMark/>
          </w:tcPr>
          <w:p w14:paraId="5A55F3F6" w14:textId="77777777" w:rsidR="0083456C" w:rsidRPr="0083456C" w:rsidRDefault="0083456C" w:rsidP="0083456C">
            <w:pPr>
              <w:rPr>
                <w:rFonts w:ascii="Arial" w:hAnsi="Arial" w:cs="Arial"/>
                <w:b/>
                <w:bCs/>
                <w:color w:val="000000"/>
                <w:sz w:val="18"/>
                <w:szCs w:val="18"/>
              </w:rPr>
            </w:pPr>
            <w:r w:rsidRPr="0083456C">
              <w:rPr>
                <w:rFonts w:ascii="Arial" w:hAnsi="Arial" w:cs="Arial"/>
                <w:b/>
                <w:bCs/>
                <w:color w:val="000000"/>
                <w:sz w:val="18"/>
                <w:szCs w:val="18"/>
              </w:rPr>
              <w:t>Code</w:t>
            </w:r>
          </w:p>
        </w:tc>
        <w:tc>
          <w:tcPr>
            <w:tcW w:w="6378" w:type="dxa"/>
            <w:noWrap/>
            <w:vAlign w:val="bottom"/>
            <w:hideMark/>
          </w:tcPr>
          <w:p w14:paraId="2E7D1091" w14:textId="77777777" w:rsidR="0083456C" w:rsidRPr="0083456C" w:rsidRDefault="0083456C" w:rsidP="0083456C">
            <w:pPr>
              <w:rPr>
                <w:rFonts w:ascii="Arial" w:hAnsi="Arial" w:cs="Arial"/>
                <w:b/>
                <w:bCs/>
                <w:color w:val="000000"/>
                <w:sz w:val="18"/>
                <w:szCs w:val="18"/>
              </w:rPr>
            </w:pPr>
            <w:r w:rsidRPr="0083456C">
              <w:rPr>
                <w:rFonts w:ascii="Arial" w:hAnsi="Arial" w:cs="Arial"/>
                <w:b/>
                <w:bCs/>
                <w:color w:val="000000"/>
                <w:sz w:val="18"/>
                <w:szCs w:val="18"/>
              </w:rPr>
              <w:t>Statement</w:t>
            </w:r>
          </w:p>
        </w:tc>
      </w:tr>
      <w:tr w:rsidR="007E3C9F" w:rsidRPr="0083456C" w14:paraId="38A64026" w14:textId="77777777" w:rsidTr="007E3C9F">
        <w:trPr>
          <w:trHeight w:val="260"/>
        </w:trPr>
        <w:tc>
          <w:tcPr>
            <w:tcW w:w="2173" w:type="dxa"/>
            <w:vMerge w:val="restart"/>
            <w:noWrap/>
            <w:hideMark/>
          </w:tcPr>
          <w:p w14:paraId="59939CB3" w14:textId="77777777" w:rsidR="007E3C9F" w:rsidRPr="0083456C" w:rsidRDefault="007E3C9F" w:rsidP="007E3C9F">
            <w:pPr>
              <w:rPr>
                <w:rFonts w:ascii="Arial" w:hAnsi="Arial" w:cs="Arial"/>
                <w:b/>
                <w:bCs/>
                <w:color w:val="000000"/>
                <w:sz w:val="18"/>
                <w:szCs w:val="18"/>
              </w:rPr>
            </w:pPr>
            <w:r w:rsidRPr="0083456C">
              <w:rPr>
                <w:rFonts w:ascii="Arial" w:hAnsi="Arial" w:cs="Arial"/>
                <w:b/>
                <w:bCs/>
                <w:color w:val="000000"/>
                <w:sz w:val="18"/>
                <w:szCs w:val="18"/>
              </w:rPr>
              <w:t>Learning Strategies (LS)</w:t>
            </w:r>
          </w:p>
        </w:tc>
        <w:tc>
          <w:tcPr>
            <w:tcW w:w="799" w:type="dxa"/>
            <w:noWrap/>
            <w:vAlign w:val="bottom"/>
            <w:hideMark/>
          </w:tcPr>
          <w:p w14:paraId="0EEF5C51" w14:textId="77777777"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LS1</w:t>
            </w:r>
          </w:p>
        </w:tc>
        <w:tc>
          <w:tcPr>
            <w:tcW w:w="6378" w:type="dxa"/>
            <w:noWrap/>
            <w:vAlign w:val="bottom"/>
            <w:hideMark/>
          </w:tcPr>
          <w:p w14:paraId="0FB54860" w14:textId="0394A7C9"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Comics used in learning make the lessons more interesting.</w:t>
            </w:r>
          </w:p>
        </w:tc>
      </w:tr>
      <w:tr w:rsidR="007E3C9F" w:rsidRPr="0083456C" w14:paraId="4A779D08" w14:textId="77777777" w:rsidTr="0083456C">
        <w:trPr>
          <w:trHeight w:val="260"/>
        </w:trPr>
        <w:tc>
          <w:tcPr>
            <w:tcW w:w="2173" w:type="dxa"/>
            <w:vMerge/>
            <w:noWrap/>
            <w:vAlign w:val="bottom"/>
            <w:hideMark/>
          </w:tcPr>
          <w:p w14:paraId="5CF7D143"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2A23E0EA" w14:textId="77777777"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LS2</w:t>
            </w:r>
          </w:p>
        </w:tc>
        <w:tc>
          <w:tcPr>
            <w:tcW w:w="6378" w:type="dxa"/>
            <w:noWrap/>
            <w:vAlign w:val="bottom"/>
            <w:hideMark/>
          </w:tcPr>
          <w:p w14:paraId="3D78483A" w14:textId="78F57CBE"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Learning with comics helps me focus more on the material.</w:t>
            </w:r>
          </w:p>
        </w:tc>
      </w:tr>
      <w:tr w:rsidR="0083456C" w:rsidRPr="0083456C" w14:paraId="659E1445" w14:textId="77777777" w:rsidTr="0083456C">
        <w:trPr>
          <w:trHeight w:val="260"/>
        </w:trPr>
        <w:tc>
          <w:tcPr>
            <w:tcW w:w="2173" w:type="dxa"/>
            <w:noWrap/>
            <w:vAlign w:val="bottom"/>
            <w:hideMark/>
          </w:tcPr>
          <w:p w14:paraId="6449621B" w14:textId="77777777" w:rsidR="0083456C" w:rsidRPr="0083456C" w:rsidRDefault="0083456C" w:rsidP="0083456C">
            <w:pPr>
              <w:rPr>
                <w:rFonts w:ascii="Arial" w:hAnsi="Arial" w:cs="Arial"/>
                <w:color w:val="000000"/>
                <w:sz w:val="18"/>
                <w:szCs w:val="18"/>
              </w:rPr>
            </w:pPr>
          </w:p>
        </w:tc>
        <w:tc>
          <w:tcPr>
            <w:tcW w:w="799" w:type="dxa"/>
            <w:noWrap/>
            <w:vAlign w:val="bottom"/>
            <w:hideMark/>
          </w:tcPr>
          <w:p w14:paraId="6E4583C4" w14:textId="70AF853B" w:rsidR="0083456C" w:rsidRPr="0083456C" w:rsidRDefault="0083456C" w:rsidP="0083456C">
            <w:pPr>
              <w:rPr>
                <w:rFonts w:ascii="Arial" w:hAnsi="Arial" w:cs="Arial"/>
                <w:color w:val="000000"/>
                <w:sz w:val="18"/>
                <w:szCs w:val="18"/>
              </w:rPr>
            </w:pPr>
            <w:r w:rsidRPr="0083456C">
              <w:rPr>
                <w:rFonts w:ascii="Arial" w:hAnsi="Arial" w:cs="Arial"/>
                <w:color w:val="000000"/>
                <w:sz w:val="18"/>
                <w:szCs w:val="18"/>
              </w:rPr>
              <w:t>LS</w:t>
            </w:r>
            <w:r w:rsidR="008E0885">
              <w:rPr>
                <w:rFonts w:ascii="Arial" w:hAnsi="Arial" w:cs="Arial"/>
                <w:color w:val="000000"/>
                <w:sz w:val="18"/>
                <w:szCs w:val="18"/>
              </w:rPr>
              <w:t>3</w:t>
            </w:r>
          </w:p>
        </w:tc>
        <w:tc>
          <w:tcPr>
            <w:tcW w:w="6378" w:type="dxa"/>
            <w:noWrap/>
            <w:vAlign w:val="bottom"/>
            <w:hideMark/>
          </w:tcPr>
          <w:p w14:paraId="7BDCEDDC" w14:textId="5A3BB5AE" w:rsidR="0083456C" w:rsidRPr="0083456C" w:rsidRDefault="0083456C" w:rsidP="0083456C">
            <w:pPr>
              <w:rPr>
                <w:rFonts w:ascii="Arial" w:hAnsi="Arial" w:cs="Arial"/>
                <w:color w:val="000000"/>
                <w:sz w:val="18"/>
                <w:szCs w:val="18"/>
              </w:rPr>
            </w:pPr>
            <w:r w:rsidRPr="0083456C">
              <w:rPr>
                <w:rFonts w:ascii="Arial" w:hAnsi="Arial" w:cs="Arial"/>
                <w:color w:val="000000"/>
                <w:sz w:val="18"/>
                <w:szCs w:val="18"/>
              </w:rPr>
              <w:t>The use of comics helps me understand the material better.</w:t>
            </w:r>
          </w:p>
        </w:tc>
      </w:tr>
      <w:tr w:rsidR="0083456C" w:rsidRPr="0083456C" w14:paraId="419A53DF" w14:textId="77777777" w:rsidTr="0083456C">
        <w:trPr>
          <w:trHeight w:val="260"/>
        </w:trPr>
        <w:tc>
          <w:tcPr>
            <w:tcW w:w="2173" w:type="dxa"/>
            <w:noWrap/>
            <w:vAlign w:val="bottom"/>
            <w:hideMark/>
          </w:tcPr>
          <w:p w14:paraId="306D2112" w14:textId="77777777" w:rsidR="0083456C" w:rsidRPr="0083456C" w:rsidRDefault="0083456C" w:rsidP="0083456C">
            <w:pPr>
              <w:rPr>
                <w:rFonts w:ascii="Arial" w:hAnsi="Arial" w:cs="Arial"/>
                <w:color w:val="000000"/>
                <w:sz w:val="18"/>
                <w:szCs w:val="18"/>
              </w:rPr>
            </w:pPr>
          </w:p>
        </w:tc>
        <w:tc>
          <w:tcPr>
            <w:tcW w:w="799" w:type="dxa"/>
            <w:noWrap/>
            <w:vAlign w:val="bottom"/>
            <w:hideMark/>
          </w:tcPr>
          <w:p w14:paraId="659A7DD6" w14:textId="2211E85D" w:rsidR="0083456C" w:rsidRPr="0083456C" w:rsidRDefault="0083456C" w:rsidP="0083456C">
            <w:pPr>
              <w:rPr>
                <w:rFonts w:ascii="Arial" w:hAnsi="Arial" w:cs="Arial"/>
                <w:color w:val="000000"/>
                <w:sz w:val="18"/>
                <w:szCs w:val="18"/>
              </w:rPr>
            </w:pPr>
            <w:r w:rsidRPr="0083456C">
              <w:rPr>
                <w:rFonts w:ascii="Arial" w:hAnsi="Arial" w:cs="Arial"/>
                <w:color w:val="000000"/>
                <w:sz w:val="18"/>
                <w:szCs w:val="18"/>
              </w:rPr>
              <w:t>LS</w:t>
            </w:r>
            <w:r w:rsidR="008E0885">
              <w:rPr>
                <w:rFonts w:ascii="Arial" w:hAnsi="Arial" w:cs="Arial"/>
                <w:color w:val="000000"/>
                <w:sz w:val="18"/>
                <w:szCs w:val="18"/>
              </w:rPr>
              <w:t>4</w:t>
            </w:r>
          </w:p>
        </w:tc>
        <w:tc>
          <w:tcPr>
            <w:tcW w:w="6378" w:type="dxa"/>
            <w:noWrap/>
            <w:vAlign w:val="bottom"/>
            <w:hideMark/>
          </w:tcPr>
          <w:p w14:paraId="72DA73D3" w14:textId="3B585290" w:rsidR="0083456C" w:rsidRPr="0083456C" w:rsidRDefault="0083456C" w:rsidP="0083456C">
            <w:pPr>
              <w:rPr>
                <w:rFonts w:ascii="Arial" w:hAnsi="Arial" w:cs="Arial"/>
                <w:color w:val="000000"/>
                <w:sz w:val="18"/>
                <w:szCs w:val="18"/>
              </w:rPr>
            </w:pPr>
            <w:r w:rsidRPr="0083456C">
              <w:rPr>
                <w:rFonts w:ascii="Arial" w:hAnsi="Arial" w:cs="Arial"/>
                <w:color w:val="000000"/>
                <w:sz w:val="18"/>
                <w:szCs w:val="18"/>
              </w:rPr>
              <w:t>Teaching with comics makes it easier for me to follow the flow of the lesson.</w:t>
            </w:r>
          </w:p>
        </w:tc>
      </w:tr>
      <w:tr w:rsidR="007E3C9F" w:rsidRPr="0083456C" w14:paraId="5830D899" w14:textId="77777777" w:rsidTr="007E3C9F">
        <w:trPr>
          <w:trHeight w:val="260"/>
        </w:trPr>
        <w:tc>
          <w:tcPr>
            <w:tcW w:w="2173" w:type="dxa"/>
            <w:vMerge w:val="restart"/>
            <w:noWrap/>
            <w:hideMark/>
          </w:tcPr>
          <w:p w14:paraId="78B53292" w14:textId="77777777" w:rsidR="007E3C9F" w:rsidRPr="0083456C" w:rsidRDefault="007E3C9F" w:rsidP="007E3C9F">
            <w:pPr>
              <w:rPr>
                <w:rFonts w:ascii="Arial" w:hAnsi="Arial" w:cs="Arial"/>
                <w:b/>
                <w:bCs/>
                <w:color w:val="000000"/>
                <w:sz w:val="18"/>
                <w:szCs w:val="18"/>
              </w:rPr>
            </w:pPr>
            <w:r w:rsidRPr="0083456C">
              <w:rPr>
                <w:rFonts w:ascii="Arial" w:hAnsi="Arial" w:cs="Arial"/>
                <w:b/>
                <w:bCs/>
                <w:color w:val="000000"/>
                <w:sz w:val="18"/>
                <w:szCs w:val="18"/>
              </w:rPr>
              <w:t>Digital Comics Media (DCM)</w:t>
            </w:r>
          </w:p>
        </w:tc>
        <w:tc>
          <w:tcPr>
            <w:tcW w:w="799" w:type="dxa"/>
            <w:noWrap/>
            <w:vAlign w:val="bottom"/>
            <w:hideMark/>
          </w:tcPr>
          <w:p w14:paraId="5A620878" w14:textId="77777777"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DCM1</w:t>
            </w:r>
          </w:p>
        </w:tc>
        <w:tc>
          <w:tcPr>
            <w:tcW w:w="6378" w:type="dxa"/>
            <w:noWrap/>
            <w:vAlign w:val="bottom"/>
            <w:hideMark/>
          </w:tcPr>
          <w:p w14:paraId="7DEBBFFA" w14:textId="0D3B484F"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Comic content matches the computer device material studied.</w:t>
            </w:r>
          </w:p>
        </w:tc>
      </w:tr>
      <w:tr w:rsidR="007E3C9F" w:rsidRPr="0083456C" w14:paraId="1DBEBB96" w14:textId="77777777" w:rsidTr="0083456C">
        <w:trPr>
          <w:trHeight w:val="260"/>
        </w:trPr>
        <w:tc>
          <w:tcPr>
            <w:tcW w:w="2173" w:type="dxa"/>
            <w:vMerge/>
            <w:noWrap/>
            <w:vAlign w:val="bottom"/>
            <w:hideMark/>
          </w:tcPr>
          <w:p w14:paraId="64F24C4F"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3E664DAA" w14:textId="77777777"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DCM2</w:t>
            </w:r>
          </w:p>
        </w:tc>
        <w:tc>
          <w:tcPr>
            <w:tcW w:w="6378" w:type="dxa"/>
            <w:noWrap/>
            <w:vAlign w:val="bottom"/>
            <w:hideMark/>
          </w:tcPr>
          <w:p w14:paraId="75BE39DD" w14:textId="3651BFF6"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Visualizations in comics help me understand difficult concepts.</w:t>
            </w:r>
          </w:p>
        </w:tc>
      </w:tr>
      <w:tr w:rsidR="007E3C9F" w:rsidRPr="0083456C" w14:paraId="7331E487" w14:textId="77777777" w:rsidTr="0083456C">
        <w:trPr>
          <w:trHeight w:val="260"/>
        </w:trPr>
        <w:tc>
          <w:tcPr>
            <w:tcW w:w="2173" w:type="dxa"/>
            <w:vMerge/>
            <w:noWrap/>
            <w:vAlign w:val="bottom"/>
            <w:hideMark/>
          </w:tcPr>
          <w:p w14:paraId="4EDE2C92"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3C60CE2E" w14:textId="17AC9391"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DCM</w:t>
            </w:r>
            <w:r>
              <w:rPr>
                <w:rFonts w:ascii="Arial" w:hAnsi="Arial" w:cs="Arial"/>
                <w:color w:val="000000"/>
                <w:sz w:val="18"/>
                <w:szCs w:val="18"/>
              </w:rPr>
              <w:t>3</w:t>
            </w:r>
          </w:p>
        </w:tc>
        <w:tc>
          <w:tcPr>
            <w:tcW w:w="6378" w:type="dxa"/>
            <w:noWrap/>
            <w:vAlign w:val="bottom"/>
            <w:hideMark/>
          </w:tcPr>
          <w:p w14:paraId="68D29F30" w14:textId="0EE983DE"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The comic has an attractive visual quality.</w:t>
            </w:r>
          </w:p>
        </w:tc>
      </w:tr>
      <w:tr w:rsidR="0083456C" w:rsidRPr="0083456C" w14:paraId="1F93EA51" w14:textId="77777777" w:rsidTr="0083456C">
        <w:trPr>
          <w:trHeight w:val="260"/>
        </w:trPr>
        <w:tc>
          <w:tcPr>
            <w:tcW w:w="2173" w:type="dxa"/>
            <w:noWrap/>
            <w:vAlign w:val="bottom"/>
            <w:hideMark/>
          </w:tcPr>
          <w:p w14:paraId="46471B77" w14:textId="77777777" w:rsidR="0083456C" w:rsidRPr="0083456C" w:rsidRDefault="0083456C" w:rsidP="0083456C">
            <w:pPr>
              <w:rPr>
                <w:rFonts w:ascii="Arial" w:hAnsi="Arial" w:cs="Arial"/>
                <w:color w:val="000000"/>
                <w:sz w:val="18"/>
                <w:szCs w:val="18"/>
              </w:rPr>
            </w:pPr>
          </w:p>
        </w:tc>
        <w:tc>
          <w:tcPr>
            <w:tcW w:w="799" w:type="dxa"/>
            <w:noWrap/>
            <w:vAlign w:val="bottom"/>
            <w:hideMark/>
          </w:tcPr>
          <w:p w14:paraId="30F57395" w14:textId="3DB5B8F0" w:rsidR="0083456C" w:rsidRPr="0083456C" w:rsidRDefault="0083456C" w:rsidP="0083456C">
            <w:pPr>
              <w:rPr>
                <w:rFonts w:ascii="Arial" w:hAnsi="Arial" w:cs="Arial"/>
                <w:color w:val="000000"/>
                <w:sz w:val="18"/>
                <w:szCs w:val="18"/>
              </w:rPr>
            </w:pPr>
            <w:r w:rsidRPr="0083456C">
              <w:rPr>
                <w:rFonts w:ascii="Arial" w:hAnsi="Arial" w:cs="Arial"/>
                <w:color w:val="000000"/>
                <w:sz w:val="18"/>
                <w:szCs w:val="18"/>
              </w:rPr>
              <w:t>DCM</w:t>
            </w:r>
            <w:r w:rsidR="00432508">
              <w:rPr>
                <w:rFonts w:ascii="Arial" w:hAnsi="Arial" w:cs="Arial"/>
                <w:color w:val="000000"/>
                <w:sz w:val="18"/>
                <w:szCs w:val="18"/>
              </w:rPr>
              <w:t>4</w:t>
            </w:r>
          </w:p>
        </w:tc>
        <w:tc>
          <w:tcPr>
            <w:tcW w:w="6378" w:type="dxa"/>
            <w:noWrap/>
            <w:vAlign w:val="bottom"/>
            <w:hideMark/>
          </w:tcPr>
          <w:p w14:paraId="535FDC51" w14:textId="458BC447" w:rsidR="0083456C" w:rsidRPr="0083456C" w:rsidRDefault="0083456C" w:rsidP="0083456C">
            <w:pPr>
              <w:rPr>
                <w:rFonts w:ascii="Arial" w:hAnsi="Arial" w:cs="Arial"/>
                <w:color w:val="000000"/>
                <w:sz w:val="18"/>
                <w:szCs w:val="18"/>
              </w:rPr>
            </w:pPr>
            <w:r w:rsidRPr="0083456C">
              <w:rPr>
                <w:rFonts w:ascii="Arial" w:hAnsi="Arial" w:cs="Arial"/>
                <w:color w:val="000000"/>
                <w:sz w:val="18"/>
                <w:szCs w:val="18"/>
              </w:rPr>
              <w:t>The narrative in the comic makes it easier for me to understand the context of the material.</w:t>
            </w:r>
          </w:p>
        </w:tc>
      </w:tr>
      <w:tr w:rsidR="007E3C9F" w:rsidRPr="0083456C" w14:paraId="409D493B" w14:textId="77777777" w:rsidTr="007E3C9F">
        <w:trPr>
          <w:trHeight w:val="260"/>
        </w:trPr>
        <w:tc>
          <w:tcPr>
            <w:tcW w:w="2173" w:type="dxa"/>
            <w:vMerge w:val="restart"/>
            <w:noWrap/>
            <w:hideMark/>
          </w:tcPr>
          <w:p w14:paraId="7E6881A5" w14:textId="55993309" w:rsidR="007E3C9F" w:rsidRPr="0083456C" w:rsidRDefault="007E3C9F" w:rsidP="007E3C9F">
            <w:pPr>
              <w:rPr>
                <w:rFonts w:ascii="Arial" w:hAnsi="Arial" w:cs="Arial"/>
                <w:color w:val="000000"/>
                <w:sz w:val="18"/>
                <w:szCs w:val="18"/>
              </w:rPr>
            </w:pPr>
            <w:r w:rsidRPr="0083456C">
              <w:rPr>
                <w:rFonts w:ascii="Arial" w:hAnsi="Arial" w:cs="Arial"/>
                <w:b/>
                <w:bCs/>
                <w:color w:val="000000"/>
                <w:sz w:val="18"/>
                <w:szCs w:val="18"/>
              </w:rPr>
              <w:t>Learning Motivation (LM)</w:t>
            </w:r>
          </w:p>
        </w:tc>
        <w:tc>
          <w:tcPr>
            <w:tcW w:w="799" w:type="dxa"/>
            <w:noWrap/>
            <w:vAlign w:val="bottom"/>
            <w:hideMark/>
          </w:tcPr>
          <w:p w14:paraId="0A42920D" w14:textId="1D97B743"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LM</w:t>
            </w:r>
            <w:r>
              <w:rPr>
                <w:rFonts w:ascii="Arial" w:hAnsi="Arial" w:cs="Arial"/>
                <w:color w:val="000000"/>
                <w:sz w:val="18"/>
                <w:szCs w:val="18"/>
              </w:rPr>
              <w:t>1</w:t>
            </w:r>
          </w:p>
        </w:tc>
        <w:tc>
          <w:tcPr>
            <w:tcW w:w="6378" w:type="dxa"/>
            <w:noWrap/>
            <w:vAlign w:val="bottom"/>
            <w:hideMark/>
          </w:tcPr>
          <w:p w14:paraId="36E9C0FC" w14:textId="77777777"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I am more excited to attend class when comics are used as a learning medium.15</w:t>
            </w:r>
          </w:p>
        </w:tc>
      </w:tr>
      <w:tr w:rsidR="007E3C9F" w:rsidRPr="0083456C" w14:paraId="603E1356" w14:textId="77777777" w:rsidTr="0083456C">
        <w:trPr>
          <w:trHeight w:val="260"/>
        </w:trPr>
        <w:tc>
          <w:tcPr>
            <w:tcW w:w="2173" w:type="dxa"/>
            <w:vMerge/>
            <w:noWrap/>
            <w:vAlign w:val="bottom"/>
            <w:hideMark/>
          </w:tcPr>
          <w:p w14:paraId="6D0F336C"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7B34B203" w14:textId="1D65512E"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LM</w:t>
            </w:r>
            <w:r>
              <w:rPr>
                <w:rFonts w:ascii="Arial" w:hAnsi="Arial" w:cs="Arial"/>
                <w:color w:val="000000"/>
                <w:sz w:val="18"/>
                <w:szCs w:val="18"/>
              </w:rPr>
              <w:t>2</w:t>
            </w:r>
          </w:p>
        </w:tc>
        <w:tc>
          <w:tcPr>
            <w:tcW w:w="6378" w:type="dxa"/>
            <w:noWrap/>
            <w:vAlign w:val="bottom"/>
            <w:hideMark/>
          </w:tcPr>
          <w:p w14:paraId="2F9E1FFE" w14:textId="36E710C3"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Comics increase my curiosity about computer device material.</w:t>
            </w:r>
          </w:p>
        </w:tc>
      </w:tr>
      <w:tr w:rsidR="007E3C9F" w:rsidRPr="0083456C" w14:paraId="393C6771" w14:textId="77777777" w:rsidTr="0083456C">
        <w:trPr>
          <w:trHeight w:val="260"/>
        </w:trPr>
        <w:tc>
          <w:tcPr>
            <w:tcW w:w="2173" w:type="dxa"/>
            <w:vMerge/>
            <w:noWrap/>
            <w:vAlign w:val="bottom"/>
            <w:hideMark/>
          </w:tcPr>
          <w:p w14:paraId="4878AFB2"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58F91741" w14:textId="2E716231"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LM</w:t>
            </w:r>
            <w:r>
              <w:rPr>
                <w:rFonts w:ascii="Arial" w:hAnsi="Arial" w:cs="Arial"/>
                <w:color w:val="000000"/>
                <w:sz w:val="18"/>
                <w:szCs w:val="18"/>
              </w:rPr>
              <w:t>3</w:t>
            </w:r>
          </w:p>
        </w:tc>
        <w:tc>
          <w:tcPr>
            <w:tcW w:w="6378" w:type="dxa"/>
            <w:noWrap/>
            <w:vAlign w:val="bottom"/>
            <w:hideMark/>
          </w:tcPr>
          <w:p w14:paraId="66FDFF6A" w14:textId="577FBF9A"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I feel challenged to complete the material after reading the comic.</w:t>
            </w:r>
          </w:p>
        </w:tc>
      </w:tr>
      <w:tr w:rsidR="007E3C9F" w:rsidRPr="0083456C" w14:paraId="5188DD89" w14:textId="77777777" w:rsidTr="0083456C">
        <w:trPr>
          <w:trHeight w:val="260"/>
        </w:trPr>
        <w:tc>
          <w:tcPr>
            <w:tcW w:w="2173" w:type="dxa"/>
            <w:vMerge/>
            <w:noWrap/>
            <w:vAlign w:val="bottom"/>
            <w:hideMark/>
          </w:tcPr>
          <w:p w14:paraId="0682FE7B"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6A696E00" w14:textId="3863C3CE"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LM</w:t>
            </w:r>
            <w:r>
              <w:rPr>
                <w:rFonts w:ascii="Arial" w:hAnsi="Arial" w:cs="Arial"/>
                <w:color w:val="000000"/>
                <w:sz w:val="18"/>
                <w:szCs w:val="18"/>
              </w:rPr>
              <w:t>4</w:t>
            </w:r>
          </w:p>
        </w:tc>
        <w:tc>
          <w:tcPr>
            <w:tcW w:w="6378" w:type="dxa"/>
            <w:noWrap/>
            <w:vAlign w:val="bottom"/>
            <w:hideMark/>
          </w:tcPr>
          <w:p w14:paraId="69ADF47A" w14:textId="237A9223"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I have a greater drive to study computer devices when the material is presented in comic form.</w:t>
            </w:r>
          </w:p>
        </w:tc>
      </w:tr>
      <w:tr w:rsidR="007E3C9F" w:rsidRPr="0083456C" w14:paraId="7E5F104B" w14:textId="77777777" w:rsidTr="007E3C9F">
        <w:trPr>
          <w:trHeight w:val="260"/>
        </w:trPr>
        <w:tc>
          <w:tcPr>
            <w:tcW w:w="2173" w:type="dxa"/>
            <w:vMerge w:val="restart"/>
            <w:noWrap/>
            <w:hideMark/>
          </w:tcPr>
          <w:p w14:paraId="0AA7BC38" w14:textId="77777777" w:rsidR="007E3C9F" w:rsidRPr="0083456C" w:rsidRDefault="007E3C9F" w:rsidP="007E3C9F">
            <w:pPr>
              <w:rPr>
                <w:rFonts w:ascii="Arial" w:hAnsi="Arial" w:cs="Arial"/>
                <w:b/>
                <w:bCs/>
                <w:color w:val="000000"/>
                <w:sz w:val="18"/>
                <w:szCs w:val="18"/>
              </w:rPr>
            </w:pPr>
            <w:r w:rsidRPr="0083456C">
              <w:rPr>
                <w:rFonts w:ascii="Arial" w:hAnsi="Arial" w:cs="Arial"/>
                <w:b/>
                <w:bCs/>
                <w:color w:val="000000"/>
                <w:sz w:val="18"/>
                <w:szCs w:val="18"/>
              </w:rPr>
              <w:t>Computer Comprehension (CC)</w:t>
            </w:r>
          </w:p>
        </w:tc>
        <w:tc>
          <w:tcPr>
            <w:tcW w:w="799" w:type="dxa"/>
            <w:noWrap/>
            <w:vAlign w:val="bottom"/>
            <w:hideMark/>
          </w:tcPr>
          <w:p w14:paraId="5FEC75F3" w14:textId="77777777"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CC1</w:t>
            </w:r>
          </w:p>
        </w:tc>
        <w:tc>
          <w:tcPr>
            <w:tcW w:w="6378" w:type="dxa"/>
            <w:noWrap/>
            <w:vAlign w:val="bottom"/>
            <w:hideMark/>
          </w:tcPr>
          <w:p w14:paraId="0D75E1AB" w14:textId="63773F5B"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I understand computer device concepts better after using the comic.</w:t>
            </w:r>
          </w:p>
        </w:tc>
      </w:tr>
      <w:tr w:rsidR="007E3C9F" w:rsidRPr="0083456C" w14:paraId="28BB0D22" w14:textId="77777777" w:rsidTr="0083456C">
        <w:trPr>
          <w:trHeight w:val="260"/>
        </w:trPr>
        <w:tc>
          <w:tcPr>
            <w:tcW w:w="2173" w:type="dxa"/>
            <w:vMerge/>
            <w:noWrap/>
            <w:vAlign w:val="bottom"/>
            <w:hideMark/>
          </w:tcPr>
          <w:p w14:paraId="20010FC6"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63C6E270" w14:textId="77777777"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CC2</w:t>
            </w:r>
          </w:p>
        </w:tc>
        <w:tc>
          <w:tcPr>
            <w:tcW w:w="6378" w:type="dxa"/>
            <w:noWrap/>
            <w:vAlign w:val="bottom"/>
            <w:hideMark/>
          </w:tcPr>
          <w:p w14:paraId="5FE9D5C7" w14:textId="08E9033C"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I can explain computer device concepts more clearly after learning through the comic.</w:t>
            </w:r>
          </w:p>
        </w:tc>
      </w:tr>
      <w:tr w:rsidR="007E3C9F" w:rsidRPr="0083456C" w14:paraId="0D9796AE" w14:textId="77777777" w:rsidTr="0083456C">
        <w:trPr>
          <w:trHeight w:val="260"/>
        </w:trPr>
        <w:tc>
          <w:tcPr>
            <w:tcW w:w="2173" w:type="dxa"/>
            <w:vMerge/>
            <w:noWrap/>
            <w:vAlign w:val="bottom"/>
            <w:hideMark/>
          </w:tcPr>
          <w:p w14:paraId="7F48157A"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0B6CF092" w14:textId="62C8E454"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CC</w:t>
            </w:r>
            <w:r>
              <w:rPr>
                <w:rFonts w:ascii="Arial" w:hAnsi="Arial" w:cs="Arial"/>
                <w:color w:val="000000"/>
                <w:sz w:val="18"/>
                <w:szCs w:val="18"/>
              </w:rPr>
              <w:t>3</w:t>
            </w:r>
          </w:p>
        </w:tc>
        <w:tc>
          <w:tcPr>
            <w:tcW w:w="6378" w:type="dxa"/>
            <w:noWrap/>
            <w:vAlign w:val="bottom"/>
            <w:hideMark/>
          </w:tcPr>
          <w:p w14:paraId="6D55BF44" w14:textId="6D0CFB3D"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I feel more able to apply computer device concepts in real situations after learning through the comic.</w:t>
            </w:r>
          </w:p>
        </w:tc>
      </w:tr>
      <w:tr w:rsidR="007E3C9F" w:rsidRPr="0083456C" w14:paraId="5BD587C1" w14:textId="77777777" w:rsidTr="0083456C">
        <w:trPr>
          <w:trHeight w:val="260"/>
        </w:trPr>
        <w:tc>
          <w:tcPr>
            <w:tcW w:w="2173" w:type="dxa"/>
            <w:vMerge/>
            <w:noWrap/>
            <w:vAlign w:val="bottom"/>
            <w:hideMark/>
          </w:tcPr>
          <w:p w14:paraId="0B7C582C" w14:textId="77777777" w:rsidR="007E3C9F" w:rsidRPr="0083456C" w:rsidRDefault="007E3C9F" w:rsidP="0083456C">
            <w:pPr>
              <w:rPr>
                <w:rFonts w:ascii="Arial" w:hAnsi="Arial" w:cs="Arial"/>
                <w:color w:val="000000"/>
                <w:sz w:val="18"/>
                <w:szCs w:val="18"/>
              </w:rPr>
            </w:pPr>
          </w:p>
        </w:tc>
        <w:tc>
          <w:tcPr>
            <w:tcW w:w="799" w:type="dxa"/>
            <w:noWrap/>
            <w:vAlign w:val="bottom"/>
            <w:hideMark/>
          </w:tcPr>
          <w:p w14:paraId="3C4F43FC" w14:textId="363526AA"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CC</w:t>
            </w:r>
            <w:r>
              <w:rPr>
                <w:rFonts w:ascii="Arial" w:hAnsi="Arial" w:cs="Arial"/>
                <w:color w:val="000000"/>
                <w:sz w:val="18"/>
                <w:szCs w:val="18"/>
              </w:rPr>
              <w:t>4</w:t>
            </w:r>
          </w:p>
        </w:tc>
        <w:tc>
          <w:tcPr>
            <w:tcW w:w="6378" w:type="dxa"/>
            <w:noWrap/>
            <w:vAlign w:val="bottom"/>
            <w:hideMark/>
          </w:tcPr>
          <w:p w14:paraId="47EFF6A2" w14:textId="31B0CE8E" w:rsidR="007E3C9F" w:rsidRPr="0083456C" w:rsidRDefault="007E3C9F" w:rsidP="0083456C">
            <w:pPr>
              <w:rPr>
                <w:rFonts w:ascii="Arial" w:hAnsi="Arial" w:cs="Arial"/>
                <w:color w:val="000000"/>
                <w:sz w:val="18"/>
                <w:szCs w:val="18"/>
              </w:rPr>
            </w:pPr>
            <w:r w:rsidRPr="0083456C">
              <w:rPr>
                <w:rFonts w:ascii="Arial" w:hAnsi="Arial" w:cs="Arial"/>
                <w:color w:val="000000"/>
                <w:sz w:val="18"/>
                <w:szCs w:val="18"/>
              </w:rPr>
              <w:t>I can complete tasks related to computer devices better after reading the comic.</w:t>
            </w:r>
          </w:p>
        </w:tc>
      </w:tr>
    </w:tbl>
    <w:p w14:paraId="67102501" w14:textId="515805E5" w:rsidR="0083456C" w:rsidRDefault="00D35ADF" w:rsidP="00D35ADF">
      <w:pPr>
        <w:pStyle w:val="Heading2"/>
      </w:pPr>
      <w:r w:rsidRPr="00D35ADF">
        <w:t>Development of Digital Comic Media</w:t>
      </w:r>
    </w:p>
    <w:p w14:paraId="6255B514" w14:textId="522C4EA0" w:rsidR="003C4B4E" w:rsidRDefault="00D35ADF" w:rsidP="00291426">
      <w:pPr>
        <w:pStyle w:val="NormalWeb"/>
      </w:pPr>
      <w:r w:rsidRPr="00D35ADF">
        <w:t>The instructional media was developed using the Canva platform, focusing on the simplification of abstract hardware concepts through visual storytelling. The comic features a central character who guides the reader through technical explanations of hardware components such as the CPU, RAM, and storage devices.</w:t>
      </w:r>
      <w:r>
        <w:t xml:space="preserve"> Figure 2 shows the developed digital comic media example employed in this study.</w:t>
      </w:r>
    </w:p>
    <w:p w14:paraId="4A91A2C7" w14:textId="0CF14EC8" w:rsidR="00D35ADF" w:rsidRDefault="00D35ADF" w:rsidP="00291426">
      <w:pPr>
        <w:pStyle w:val="NormalWeb"/>
      </w:pPr>
      <w:r w:rsidRPr="00D35ADF">
        <w:lastRenderedPageBreak/>
        <w:drawing>
          <wp:inline distT="0" distB="0" distL="0" distR="0" wp14:anchorId="20680A3A" wp14:editId="7011CB5F">
            <wp:extent cx="4718957" cy="3216554"/>
            <wp:effectExtent l="0" t="0" r="5715" b="0"/>
            <wp:docPr id="511857439" name="Picture 1" descr="A cartoon of a chil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7439" name="Picture 1" descr="A cartoon of a child using a computer&#10;&#10;AI-generated content may be incorrect."/>
                    <pic:cNvPicPr/>
                  </pic:nvPicPr>
                  <pic:blipFill>
                    <a:blip r:embed="rId5"/>
                    <a:stretch>
                      <a:fillRect/>
                    </a:stretch>
                  </pic:blipFill>
                  <pic:spPr>
                    <a:xfrm>
                      <a:off x="0" y="0"/>
                      <a:ext cx="4747348" cy="3235906"/>
                    </a:xfrm>
                    <a:prstGeom prst="rect">
                      <a:avLst/>
                    </a:prstGeom>
                  </pic:spPr>
                </pic:pic>
              </a:graphicData>
            </a:graphic>
          </wp:inline>
        </w:drawing>
      </w:r>
    </w:p>
    <w:p w14:paraId="72908265" w14:textId="68BB42F0" w:rsidR="00A45503" w:rsidRDefault="00A45503" w:rsidP="00291426">
      <w:pPr>
        <w:pStyle w:val="NormalWeb"/>
      </w:pPr>
      <w:r>
        <w:t xml:space="preserve">Figure 2. </w:t>
      </w:r>
      <w:r w:rsidRPr="00A45503">
        <w:t>Digital</w:t>
      </w:r>
      <w:r w:rsidRPr="00A45503">
        <w:t xml:space="preserve"> comic interface preview</w:t>
      </w:r>
    </w:p>
    <w:p w14:paraId="4DC3C28A" w14:textId="458A5A8E" w:rsidR="00481A76" w:rsidRDefault="00481A76" w:rsidP="00481A76">
      <w:pPr>
        <w:pStyle w:val="Heading2"/>
      </w:pPr>
      <w:r w:rsidRPr="00481A76">
        <w:t>Data Analysis Procedures</w:t>
      </w:r>
    </w:p>
    <w:p w14:paraId="2D0456DC" w14:textId="47A42080" w:rsidR="00B27763" w:rsidRDefault="00B27763" w:rsidP="00B27763">
      <w:pPr>
        <w:pStyle w:val="NormalWeb"/>
      </w:pPr>
      <w:r>
        <w:t>The data analysis phase involved two distinct statistical approaches to provide a comprehensive evaluation of the research hypotheses. First, a descriptive statistical analysis and a Paired Sample T-Test were conducted to compare the pre-test and post-test scores, determining the significance of the improvement in student comprehension</w:t>
      </w:r>
      <w:r w:rsidR="0084718C">
        <w:t xml:space="preserve"> </w:t>
      </w:r>
      <w:r w:rsidR="0084718C">
        <w:fldChar w:fldCharType="begin"/>
      </w:r>
      <w:r w:rsidR="0084718C">
        <w:instrText xml:space="preserve"> ADDIN ZOTERO_ITEM CSL_CITATION {"citationID":"NYEc7fgV","properties":{"unsorted":false,"formattedCitation":"(Natsir et al., 2023)","plainCitation":"(Natsir et al., 2023)","noteIndex":0},"citationItems":[{"id":357,"uris":["http://zotero.org/users/local/zqnAJ6Wa/items/UFPALB9Z"],"itemData":{"id":357,"type":"article-journal","abstract":"The use of the SAVI learning model offers a more effective alternative in improving student learning outcomes by understanding individual learning preferences and providing learning strategies that follow the objectives of this study, namely to evaluate the use of the SAVI learning model for vocational high school students. The research approach used in this study is quantitative, using numbers and statistical analysis. The research design used was pre-experimental in a one-group pretest-posttest design. The present research study focused on the student population enrolled in vocational high schools in Makassar, Indonesia. Purposive sampling was used to select the most suitable sample for achieving the research objectives. The sample size consisted of 30 students, 25 of whom were male and five females. The SPSS Program enters data, performs statistical analysis, and visualizes the research results. The hypothesis test is tested at a significance level of 5% or 0.05. The results of testing the hypothesis using the SPSS application with the paired sample t-test data analysis technique obtained a significance of 0.000 where 0.000 &amp;lt; 0.05, which means that H0 is rejected and H1 is accepted. The analysis results prove that student learning outcomes (post-test) have increased compared to (pre-test). The SAVI learning model is more efficacious than traditional learning approaches, as it affords students a more engaging, enjoyable, and enduring educational encounter. It can serve as a pragmatic substitute for enhancing the caliber of education and students' academic achievements.","container-title":"International Journal of Environment Engineering and Education","DOI":"10.55151/ijeedu.v5i1.96","ISSN":"2656-8039","issue":"1","page":"27-34","title":"The SAVI Learning Model and the 21st Century Skills: Developing Critical Thinking, Collaboration, and Creativity in Students Vocational High School","volume":"5","author":[{"family":"Natsir","given":"Taufiq"},{"family":"Rasyid","given":"Abdur"},{"family":"Bassey","given":"Samuel Akpan"}],"issued":{"date-parts":[["2023",5,30]]}}}],"schema":"https://github.com/citation-style-language/schema/raw/master/csl-citation.json"} </w:instrText>
      </w:r>
      <w:r w:rsidR="0084718C">
        <w:fldChar w:fldCharType="separate"/>
      </w:r>
      <w:r w:rsidR="0084718C">
        <w:rPr>
          <w:noProof/>
        </w:rPr>
        <w:t>(Natsir et al., 2023)</w:t>
      </w:r>
      <w:r w:rsidR="0084718C">
        <w:fldChar w:fldCharType="end"/>
      </w:r>
      <w:r>
        <w:t>. This comparative step is essential for verifying that the increase in student grades was not due to chance but was a direct result of the comic intervention. The T-test results provided the initial empirical evidence of the media's effectiveness in a real-world classroom environment</w:t>
      </w:r>
      <w:r w:rsidR="0084718C">
        <w:t xml:space="preserve"> </w:t>
      </w:r>
      <w:r w:rsidR="0084718C">
        <w:fldChar w:fldCharType="begin"/>
      </w:r>
      <w:r w:rsidR="0084718C">
        <w:instrText xml:space="preserve"> ADDIN ZOTERO_ITEM CSL_CITATION {"citationID":"MGBg5aBu","properties":{"unsorted":false,"formattedCitation":"(Suryatin &amp; Sugiman, 2019)","plainCitation":"(Suryatin &amp; Sugiman, 2019)","noteIndex":0},"citationItems":[{"id":358,"uris":["http://zotero.org/users/local/zqnAJ6Wa/items/5WK6QC22"],"itemData":{"id":358,"type":"article-journal","abstract":"The study aims at generating a product in the form of comic book and also displaying the feasibility and the effectiveness of the comic book in improving the mathematical problem-solving skills and the self-confidence of the Grade IV students in the Muhammadiyah Elementary School Condongcatur Yogyakarta. The study is a Research and Development initiative (R&amp;amp;) with reference to 10 stages that have been developed by Borg &amp;amp; Gall. During the conduct of the study, the subjects were the Grade IV students of Muhammadiyah Elementary School Condongcatur Yogyakarta. The results of the study show that: (1) a comic book-based learning media that meet the criteria of feasibility based on the validation results by the material expert, the media expert, the teacher response and the students response have been generated with “Good” category; and (2) the comic book-based learning media that have been generated are effective for improving the students’ mathematical problem-solving skills and also the students’ self-confidence.","container-title":"Jurnal Prima Edukasia","DOI":"10.21831/jpe.v7i1.10747","ISSN":"2460-9927","issue":"1","page":"58-72","publisher":"State University of Yogyakarta","title":"Comic book for improving the elementary school students' mathematical problem solving skills and self-confidence","volume":"7","author":[{"family":"Suryatin","given":"Suryatin"},{"family":"Sugiman","given":"Sugiman"}],"issued":{"date-parts":[["2019",5,21]]}}}],"schema":"https://github.com/citation-style-language/schema/raw/master/csl-citation.json"} </w:instrText>
      </w:r>
      <w:r w:rsidR="0084718C">
        <w:fldChar w:fldCharType="separate"/>
      </w:r>
      <w:r w:rsidR="0084718C">
        <w:rPr>
          <w:noProof/>
        </w:rPr>
        <w:t>(Suryatin &amp; Sugiman, 2019)</w:t>
      </w:r>
      <w:r w:rsidR="0084718C">
        <w:fldChar w:fldCharType="end"/>
      </w:r>
      <w:r>
        <w:t>.</w:t>
      </w:r>
      <w:r w:rsidR="0084718C">
        <w:t xml:space="preserve"> </w:t>
      </w:r>
    </w:p>
    <w:p w14:paraId="6D253B20" w14:textId="5587AC47" w:rsidR="00481A76" w:rsidRPr="00481A76" w:rsidRDefault="00B27763" w:rsidP="0084718C">
      <w:pPr>
        <w:pStyle w:val="NormalWeb"/>
      </w:pPr>
      <w:r>
        <w:t>Second, the study employed Partial Least Squares-Structural Equation Modeling (PLS-SEM) using SmartPLS software to analyze the complex relationships between the latent variables</w:t>
      </w:r>
      <w:r w:rsidR="0084718C">
        <w:t xml:space="preserve"> </w:t>
      </w:r>
      <w:r w:rsidR="0084718C">
        <w:fldChar w:fldCharType="begin"/>
      </w:r>
      <w:r w:rsidR="0084718C">
        <w:instrText xml:space="preserve"> ADDIN ZOTERO_ITEM CSL_CITATION {"citationID":"YVUtqiQj","properties":{"unsorted":false,"formattedCitation":"(Lu et al., 2021)","plainCitation":"(Lu et al., 2021)","noteIndex":0},"citationItems":[{"id":359,"uris":["http://zotero.org/users/local/zqnAJ6Wa/items/MUKIR6LQ"],"itemData":{"id":359,"type":"article-journal","abstract":"Abstract To understand the development of students’ higher-order thinking skills (HOTS) in the smart classroom environment, a structural equation modeling analysis was used to examine the relationships between key factors that influence students’ learning and their HOTS within a smart classroom environment. A sample of 217 first-year Chinese college students, who studied in a smart classroom environment for one semester, completed a survey that measures their smart classroom preferences, learning motivation, learning strategy, peer interaction, and HOTS. The results indicated that peer interaction and learning motivation had a direct impact on students’ HOTS. Furthermore, indirect effects were found between students’ learning strategy and HOTS through the mediator peer interaction, and between smart classroom preferences and HOTS through the following: learning motivation, the combination of learning strategy and peer interaction, and the combination of learning motivation, learning strategy and peer interaction. Based on these findings, this study recommends that instructors teaching in a smart learning environment should focus on improving peer interaction and learning motivation, as well as smart classroom preferences and learning strategy, to hone students’ HOTS.","container-title":"International Journal of Educational Technology in Higher Education","DOI":"10.1186/s41239-020-00238-7","ISSN":"2365-9440","issue":"1","publisher":"Springer Nature","title":"Examining the key influencing factors on college students’ higher-order thinking skills in the smart classroom environment","URL":"https://doi.org/10.1186/s41239-020-00238-7","volume":"18","author":[{"family":"Lu","given":"Kaili"},{"family":"Yang","given":"Harrison Hao"},{"family":"Shi","given":"Yinghui"},{"family":"Wang","given":"Xuan"}],"issued":{"date-parts":[["2021",1,8]]}}}],"schema":"https://github.com/citation-style-language/schema/raw/master/csl-citation.json"} </w:instrText>
      </w:r>
      <w:r w:rsidR="0084718C">
        <w:fldChar w:fldCharType="separate"/>
      </w:r>
      <w:r w:rsidR="0084718C">
        <w:rPr>
          <w:noProof/>
        </w:rPr>
        <w:t>(Lu et al., 2021)</w:t>
      </w:r>
      <w:r w:rsidR="0084718C">
        <w:fldChar w:fldCharType="end"/>
      </w:r>
      <w:r w:rsidR="0084718C">
        <w:t>.</w:t>
      </w:r>
      <w:r>
        <w:t xml:space="preserve"> This procedure began with the evaluation of the </w:t>
      </w:r>
      <w:r w:rsidRPr="0084718C">
        <w:rPr>
          <w:rStyle w:val="Strong"/>
          <w:rFonts w:eastAsiaTheme="majorEastAsia"/>
          <w:b w:val="0"/>
          <w:bCs w:val="0"/>
        </w:rPr>
        <w:t>Outer Model</w:t>
      </w:r>
      <w:r>
        <w:t xml:space="preserve"> to ensure that all indicators met the criteria for validity and reliability, such as Average Variance Extracted (AVE) and Composite Reliability</w:t>
      </w:r>
      <w:r w:rsidR="0084718C">
        <w:t xml:space="preserve"> </w:t>
      </w:r>
      <w:r w:rsidR="0084718C">
        <w:fldChar w:fldCharType="begin"/>
      </w:r>
      <w:r w:rsidR="0084718C">
        <w:instrText xml:space="preserve"> ADDIN ZOTERO_ITEM CSL_CITATION {"citationID":"gdk0hOFe","properties":{"unsorted":false,"formattedCitation":"(El\\uc0\\u8208{}Sherbeeny et al., 2024)","plainCitation":"(El‐Sherbeeny et al., 2024)","noteIndex":0},"citationItems":[{"id":360,"uris":["http://zotero.org/users/local/zqnAJ6Wa/items/PZ2EAM6F"],"itemData":{"id":360,"type":"article-journal","abstract":"Research background: Despite the dynamically growing cross-sectional academic studies conducted on various aspects related to physical and mental workloads in the context of workplace safety, there is still room for further in-depth analyses of how these workloads affect employees' behavior and well-being. This phenomenon is of particular interest in the case of hospitality, where hotels should recognize the workloads imposed on their employees, since they are considered the most critical and influential stressors in the workplace. Purpose of the article: Based on the conservation of resources (COR) theory, our study aims to examine how hotel employees' physical and mental workloads affect their well-being and safe behaviors. The study also investigates how employee well-being and psychological resilience play a role in these patterns. Methods: The study employs an experience-sampling methodology to assess the physical and mental workloads of a group of full-time employees working in luxury hotels in the USA. Findings &amp;amp; value added: The findings derived from Partial Least Squares Structural Equation Modeling (PLS-SEM) reveal that both physical and mental workloads negatively impact overall well-being and safe behaviors. Additionally, physical workload influences mental workload. Also, employee well-being has been identified as a mediating factor in the relationship between workloads, psychological resilience, and safe behaviors. Notably, psychological resilience has not exhibited a moderating effect. This study expands on the COR theory by examining its impact on the hospitality industry. The study has developed and validated a model for assessing hotel employees' physical workload. Moreover, it emphasizes the significance of employees' well-being and psychological resilience in promoting safe behaviors in hotels. Therefore, this model is a significant step forward toward effectively measuring and maintaining the overall well-being and safe behaviors of employees in the hospitality industry. Furthermore, the value of the research is enhanced by surveying hotel employees directly rather than relying on subjective opinions from management about employee involvement in workplace health and safety. This approach avoids the bias often present in management assessments and provides a more accurate depiction of employee participation.","container-title":"Oeconomia Copernicana","DOI":"10.24136/oc.3018","ISSN":"2083-1277","issue":"2","page":"765-807","publisher":"Institute of Economic Research, Polish Economic Society Branch in Toruń, Faculty of Economic Sciences and Management at Nicolaus","title":"Enhancing hotel employees' well-being and safe behaviors: The influences of physical workload, mental workload, and psychological resilience","volume":"15","author":[{"family":"El‐Sherbeeny","given":"Ahmed M."},{"family":"Alsetoohy","given":"Omar"},{"family":"Sheikhelsouk","given":"Samar"},{"family":"Liu","given":"Sijun"},{"family":"Kamar","given":"Mahmoud Abou"}],"issued":{"date-parts":[["2024",6,30]]}}}],"schema":"https://github.com/citation-style-language/schema/raw/master/csl-citation.json"} </w:instrText>
      </w:r>
      <w:r w:rsidR="0084718C">
        <w:fldChar w:fldCharType="separate"/>
      </w:r>
      <w:r w:rsidR="0084718C" w:rsidRPr="0084718C">
        <w:rPr>
          <w:lang w:val="en-US"/>
        </w:rPr>
        <w:t>(El‐Sherbeeny et al., 2024)</w:t>
      </w:r>
      <w:r w:rsidR="0084718C">
        <w:fldChar w:fldCharType="end"/>
      </w:r>
      <w:r>
        <w:t xml:space="preserve">. Subsequently, the </w:t>
      </w:r>
      <w:r w:rsidRPr="0084718C">
        <w:rPr>
          <w:rStyle w:val="Strong"/>
          <w:rFonts w:eastAsiaTheme="majorEastAsia"/>
          <w:b w:val="0"/>
          <w:bCs w:val="0"/>
        </w:rPr>
        <w:t>Inner Model</w:t>
      </w:r>
      <w:r>
        <w:t xml:space="preserve"> was analyzed to test the structural pathways and determine the R-square values for learning motivation and material mastery. This advanced modeling approach allows for a deep understanding of how visual media indirectly influences comprehension through the mediation of student motivation.</w:t>
      </w:r>
    </w:p>
    <w:p w14:paraId="1C0F1F58" w14:textId="453F99C8" w:rsidR="003A6FD1" w:rsidRDefault="009874C1" w:rsidP="009874C1">
      <w:pPr>
        <w:pStyle w:val="Heading1"/>
      </w:pPr>
      <w:r>
        <w:lastRenderedPageBreak/>
        <w:t>Results and Discussion</w:t>
      </w:r>
    </w:p>
    <w:p w14:paraId="27B08CA7" w14:textId="77777777" w:rsidR="00046788" w:rsidRDefault="00046788" w:rsidP="003D095F">
      <w:pPr>
        <w:pStyle w:val="Heading2"/>
      </w:pPr>
      <w:r w:rsidRPr="00046788">
        <w:t>Statistical Analysis of Pre-test and Post-test</w:t>
      </w:r>
    </w:p>
    <w:p w14:paraId="2F0E7B72" w14:textId="39B4BF56" w:rsidR="00A73A47" w:rsidRDefault="00002602" w:rsidP="00967B2C">
      <w:pPr>
        <w:pStyle w:val="NormalWeb"/>
        <w:snapToGrid w:val="0"/>
        <w:spacing w:before="0" w:beforeAutospacing="0" w:after="120" w:afterAutospacing="0"/>
      </w:pPr>
      <w:r w:rsidRPr="00002602">
        <w:t xml:space="preserve">The initial phase of this research involved a pre-test to establish a baseline for students' understanding of computer systems, focusing on hardware components. Descriptive analysis of the pre-test data revealed a mean score of 71.15, with individual scores ranging from a minimum of 20 to a maximum of 100. Regarding the distribution of learning outcomes, 34.61% of students fell into the "very low" category, while 38.46% achieved a "very high" rating. Crucially, the classical completeness rate at this stage was only 57.70%, with 11 out of 26 students failing to meet the minimum competency standard (KKM) of 75. These results, as detailed in Table </w:t>
      </w:r>
      <w:r>
        <w:t>3</w:t>
      </w:r>
      <w:r w:rsidRPr="00002602">
        <w:t>, indicate that prior to the intervention, students' mastery was moderate and below the institutional passing threshold</w:t>
      </w:r>
      <w:r w:rsidR="00A73A47" w:rsidRPr="00A73A47">
        <w:t>.</w:t>
      </w:r>
    </w:p>
    <w:p w14:paraId="0BF1AA6F" w14:textId="7198A2D6" w:rsidR="00002602" w:rsidRDefault="00002602" w:rsidP="00967B2C">
      <w:pPr>
        <w:pStyle w:val="NormalWeb"/>
        <w:snapToGrid w:val="0"/>
        <w:spacing w:before="0" w:beforeAutospacing="0" w:after="120" w:afterAutospacing="0"/>
      </w:pPr>
      <w:r>
        <w:t xml:space="preserve">Table 3. Comparison of </w:t>
      </w:r>
      <w:r w:rsidRPr="00002602">
        <w:t>pre-test and post-test statistical results</w:t>
      </w:r>
    </w:p>
    <w:tbl>
      <w:tblPr>
        <w:tblW w:w="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300"/>
        <w:gridCol w:w="1300"/>
      </w:tblGrid>
      <w:tr w:rsidR="00002602" w:rsidRPr="00002602" w14:paraId="6D818D22" w14:textId="77777777" w:rsidTr="00002602">
        <w:trPr>
          <w:trHeight w:val="260"/>
        </w:trPr>
        <w:tc>
          <w:tcPr>
            <w:tcW w:w="2720" w:type="dxa"/>
            <w:noWrap/>
            <w:vAlign w:val="bottom"/>
            <w:hideMark/>
          </w:tcPr>
          <w:p w14:paraId="1FFBEAD9"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Statistics</w:t>
            </w:r>
          </w:p>
        </w:tc>
        <w:tc>
          <w:tcPr>
            <w:tcW w:w="1300" w:type="dxa"/>
            <w:noWrap/>
            <w:vAlign w:val="bottom"/>
            <w:hideMark/>
          </w:tcPr>
          <w:p w14:paraId="1E6D3AD6"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Pre-test</w:t>
            </w:r>
          </w:p>
        </w:tc>
        <w:tc>
          <w:tcPr>
            <w:tcW w:w="1300" w:type="dxa"/>
            <w:noWrap/>
            <w:vAlign w:val="bottom"/>
            <w:hideMark/>
          </w:tcPr>
          <w:p w14:paraId="5F76D977"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Post-test</w:t>
            </w:r>
          </w:p>
        </w:tc>
      </w:tr>
      <w:tr w:rsidR="00002602" w:rsidRPr="00002602" w14:paraId="6EC094EE" w14:textId="77777777" w:rsidTr="00002602">
        <w:trPr>
          <w:trHeight w:val="260"/>
        </w:trPr>
        <w:tc>
          <w:tcPr>
            <w:tcW w:w="2720" w:type="dxa"/>
            <w:noWrap/>
            <w:vAlign w:val="bottom"/>
            <w:hideMark/>
          </w:tcPr>
          <w:p w14:paraId="1E104891" w14:textId="6A8FE8C3"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Sample Size (</w:t>
            </w:r>
            <w:r w:rsidRPr="00002602">
              <w:rPr>
                <w:rFonts w:ascii="Arial" w:hAnsi="Arial" w:cs="Arial"/>
                <w:i/>
                <w:iCs/>
                <w:color w:val="000000"/>
                <w:sz w:val="20"/>
                <w:szCs w:val="20"/>
              </w:rPr>
              <w:t>N</w:t>
            </w:r>
            <w:r w:rsidRPr="00002602">
              <w:rPr>
                <w:rFonts w:ascii="Arial" w:hAnsi="Arial" w:cs="Arial"/>
                <w:color w:val="000000"/>
                <w:sz w:val="20"/>
                <w:szCs w:val="20"/>
              </w:rPr>
              <w:t>)</w:t>
            </w:r>
          </w:p>
        </w:tc>
        <w:tc>
          <w:tcPr>
            <w:tcW w:w="1300" w:type="dxa"/>
            <w:noWrap/>
            <w:vAlign w:val="bottom"/>
            <w:hideMark/>
          </w:tcPr>
          <w:p w14:paraId="71BC95D9"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26</w:t>
            </w:r>
          </w:p>
        </w:tc>
        <w:tc>
          <w:tcPr>
            <w:tcW w:w="1300" w:type="dxa"/>
            <w:noWrap/>
            <w:vAlign w:val="bottom"/>
            <w:hideMark/>
          </w:tcPr>
          <w:p w14:paraId="6ACDA85B"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26</w:t>
            </w:r>
          </w:p>
        </w:tc>
      </w:tr>
      <w:tr w:rsidR="00002602" w:rsidRPr="00002602" w14:paraId="1CC2FB67" w14:textId="77777777" w:rsidTr="00002602">
        <w:trPr>
          <w:trHeight w:val="260"/>
        </w:trPr>
        <w:tc>
          <w:tcPr>
            <w:tcW w:w="2720" w:type="dxa"/>
            <w:noWrap/>
            <w:vAlign w:val="bottom"/>
            <w:hideMark/>
          </w:tcPr>
          <w:p w14:paraId="6D1E61A0"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Maximum Score</w:t>
            </w:r>
          </w:p>
        </w:tc>
        <w:tc>
          <w:tcPr>
            <w:tcW w:w="1300" w:type="dxa"/>
            <w:noWrap/>
            <w:vAlign w:val="bottom"/>
            <w:hideMark/>
          </w:tcPr>
          <w:p w14:paraId="41941802"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100</w:t>
            </w:r>
          </w:p>
        </w:tc>
        <w:tc>
          <w:tcPr>
            <w:tcW w:w="1300" w:type="dxa"/>
            <w:noWrap/>
            <w:vAlign w:val="bottom"/>
            <w:hideMark/>
          </w:tcPr>
          <w:p w14:paraId="6969D952"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100</w:t>
            </w:r>
          </w:p>
        </w:tc>
      </w:tr>
      <w:tr w:rsidR="00002602" w:rsidRPr="00002602" w14:paraId="7F6931DD" w14:textId="77777777" w:rsidTr="00002602">
        <w:trPr>
          <w:trHeight w:val="260"/>
        </w:trPr>
        <w:tc>
          <w:tcPr>
            <w:tcW w:w="2720" w:type="dxa"/>
            <w:noWrap/>
            <w:vAlign w:val="bottom"/>
            <w:hideMark/>
          </w:tcPr>
          <w:p w14:paraId="7F33655F"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Minimum Score</w:t>
            </w:r>
          </w:p>
        </w:tc>
        <w:tc>
          <w:tcPr>
            <w:tcW w:w="1300" w:type="dxa"/>
            <w:noWrap/>
            <w:vAlign w:val="bottom"/>
            <w:hideMark/>
          </w:tcPr>
          <w:p w14:paraId="71C4EE3C"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20</w:t>
            </w:r>
          </w:p>
        </w:tc>
        <w:tc>
          <w:tcPr>
            <w:tcW w:w="1300" w:type="dxa"/>
            <w:noWrap/>
            <w:vAlign w:val="bottom"/>
            <w:hideMark/>
          </w:tcPr>
          <w:p w14:paraId="2AF47640"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50</w:t>
            </w:r>
          </w:p>
        </w:tc>
      </w:tr>
      <w:tr w:rsidR="00002602" w:rsidRPr="00002602" w14:paraId="01781E93" w14:textId="77777777" w:rsidTr="00002602">
        <w:trPr>
          <w:trHeight w:val="260"/>
        </w:trPr>
        <w:tc>
          <w:tcPr>
            <w:tcW w:w="2720" w:type="dxa"/>
            <w:noWrap/>
            <w:vAlign w:val="bottom"/>
            <w:hideMark/>
          </w:tcPr>
          <w:p w14:paraId="01AAE978"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Mean Score</w:t>
            </w:r>
          </w:p>
        </w:tc>
        <w:tc>
          <w:tcPr>
            <w:tcW w:w="1300" w:type="dxa"/>
            <w:noWrap/>
            <w:vAlign w:val="bottom"/>
            <w:hideMark/>
          </w:tcPr>
          <w:p w14:paraId="14CB4F94"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71.15</w:t>
            </w:r>
          </w:p>
        </w:tc>
        <w:tc>
          <w:tcPr>
            <w:tcW w:w="1300" w:type="dxa"/>
            <w:noWrap/>
            <w:vAlign w:val="bottom"/>
            <w:hideMark/>
          </w:tcPr>
          <w:p w14:paraId="56B88FF9"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92.3</w:t>
            </w:r>
          </w:p>
        </w:tc>
      </w:tr>
      <w:tr w:rsidR="00002602" w:rsidRPr="00002602" w14:paraId="0916C71B" w14:textId="77777777" w:rsidTr="00002602">
        <w:trPr>
          <w:trHeight w:val="260"/>
        </w:trPr>
        <w:tc>
          <w:tcPr>
            <w:tcW w:w="2720" w:type="dxa"/>
            <w:noWrap/>
            <w:vAlign w:val="bottom"/>
            <w:hideMark/>
          </w:tcPr>
          <w:p w14:paraId="78399C14"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Classical Completeness (%)</w:t>
            </w:r>
          </w:p>
        </w:tc>
        <w:tc>
          <w:tcPr>
            <w:tcW w:w="1300" w:type="dxa"/>
            <w:noWrap/>
            <w:vAlign w:val="bottom"/>
            <w:hideMark/>
          </w:tcPr>
          <w:p w14:paraId="5525B1B0"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57.70%</w:t>
            </w:r>
          </w:p>
        </w:tc>
        <w:tc>
          <w:tcPr>
            <w:tcW w:w="1300" w:type="dxa"/>
            <w:noWrap/>
            <w:vAlign w:val="bottom"/>
            <w:hideMark/>
          </w:tcPr>
          <w:p w14:paraId="221E8D13"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88.46%</w:t>
            </w:r>
          </w:p>
        </w:tc>
      </w:tr>
      <w:tr w:rsidR="00002602" w:rsidRPr="00002602" w14:paraId="4268D360" w14:textId="77777777" w:rsidTr="00002602">
        <w:trPr>
          <w:trHeight w:val="260"/>
        </w:trPr>
        <w:tc>
          <w:tcPr>
            <w:tcW w:w="2720" w:type="dxa"/>
            <w:noWrap/>
            <w:vAlign w:val="bottom"/>
            <w:hideMark/>
          </w:tcPr>
          <w:p w14:paraId="49E108EF" w14:textId="77777777" w:rsidR="00002602" w:rsidRPr="00002602" w:rsidRDefault="00002602" w:rsidP="00002602">
            <w:pPr>
              <w:rPr>
                <w:rFonts w:ascii="Arial" w:hAnsi="Arial" w:cs="Arial"/>
                <w:color w:val="000000"/>
                <w:sz w:val="20"/>
                <w:szCs w:val="20"/>
              </w:rPr>
            </w:pPr>
            <w:r w:rsidRPr="00002602">
              <w:rPr>
                <w:rFonts w:ascii="Arial" w:hAnsi="Arial" w:cs="Arial"/>
                <w:color w:val="000000"/>
                <w:sz w:val="20"/>
                <w:szCs w:val="20"/>
              </w:rPr>
              <w:t>Sig. (2-tailed)</w:t>
            </w:r>
          </w:p>
        </w:tc>
        <w:tc>
          <w:tcPr>
            <w:tcW w:w="1300" w:type="dxa"/>
            <w:noWrap/>
            <w:vAlign w:val="bottom"/>
            <w:hideMark/>
          </w:tcPr>
          <w:p w14:paraId="5920A685" w14:textId="77777777" w:rsidR="00002602" w:rsidRPr="00002602" w:rsidRDefault="00002602" w:rsidP="00B84FF2">
            <w:pPr>
              <w:jc w:val="center"/>
              <w:rPr>
                <w:rFonts w:ascii="Arial" w:hAnsi="Arial" w:cs="Arial"/>
                <w:color w:val="000000"/>
                <w:sz w:val="20"/>
                <w:szCs w:val="20"/>
              </w:rPr>
            </w:pPr>
            <w:r w:rsidRPr="00002602">
              <w:rPr>
                <w:rFonts w:ascii="Arial" w:hAnsi="Arial" w:cs="Arial"/>
                <w:color w:val="000000"/>
                <w:sz w:val="20"/>
                <w:szCs w:val="20"/>
              </w:rPr>
              <w:t>-</w:t>
            </w:r>
          </w:p>
        </w:tc>
        <w:tc>
          <w:tcPr>
            <w:tcW w:w="1300" w:type="dxa"/>
            <w:noWrap/>
            <w:vAlign w:val="bottom"/>
            <w:hideMark/>
          </w:tcPr>
          <w:p w14:paraId="54A11328" w14:textId="77777777" w:rsidR="00002602" w:rsidRPr="00002602" w:rsidRDefault="00002602" w:rsidP="00002602">
            <w:pPr>
              <w:jc w:val="right"/>
              <w:rPr>
                <w:rFonts w:ascii="Arial" w:hAnsi="Arial" w:cs="Arial"/>
                <w:color w:val="000000"/>
                <w:sz w:val="20"/>
                <w:szCs w:val="20"/>
              </w:rPr>
            </w:pPr>
            <w:r w:rsidRPr="00002602">
              <w:rPr>
                <w:rFonts w:ascii="Arial" w:hAnsi="Arial" w:cs="Arial"/>
                <w:color w:val="000000"/>
                <w:sz w:val="20"/>
                <w:szCs w:val="20"/>
              </w:rPr>
              <w:t>0.001</w:t>
            </w:r>
          </w:p>
        </w:tc>
      </w:tr>
    </w:tbl>
    <w:p w14:paraId="441A6187" w14:textId="77777777" w:rsidR="00002602" w:rsidRDefault="00002602" w:rsidP="00967B2C">
      <w:pPr>
        <w:pStyle w:val="NormalWeb"/>
        <w:snapToGrid w:val="0"/>
        <w:spacing w:before="0" w:beforeAutospacing="0" w:after="120" w:afterAutospacing="0"/>
      </w:pPr>
    </w:p>
    <w:p w14:paraId="07FCC4F1" w14:textId="7B27D03A" w:rsidR="00002602" w:rsidRDefault="00002602" w:rsidP="00967B2C">
      <w:pPr>
        <w:pStyle w:val="NormalWeb"/>
        <w:snapToGrid w:val="0"/>
        <w:spacing w:before="0" w:beforeAutospacing="0" w:after="120" w:afterAutospacing="0"/>
      </w:pPr>
      <w:r w:rsidRPr="00002602">
        <w:t>Following the implementation of the digital comic-based learning strategy, a post-test was conducted to measure its impact. The results demonstrated a significant improvement, with the mean score rising to 92.3. The shift in learning outcomes was substantial; the majority of students (80.76%) moved into the "very high" category, and the "very low" category decreased to 7.7%. Most importantly, the classical completeness rate surged to 88.46%, with 23 students successfully surpassing the KKM. This confirms the effectiveness of comic media in enhancing student mastery of informatics concepts.</w:t>
      </w:r>
    </w:p>
    <w:p w14:paraId="6F4220EC" w14:textId="2DE5A7F0" w:rsidR="00002602" w:rsidRDefault="00C4331A" w:rsidP="00967B2C">
      <w:pPr>
        <w:pStyle w:val="NormalWeb"/>
        <w:snapToGrid w:val="0"/>
        <w:spacing w:before="0" w:beforeAutospacing="0" w:after="120" w:afterAutospacing="0"/>
      </w:pPr>
      <w:r>
        <w:t>T</w:t>
      </w:r>
      <w:r w:rsidR="00002602" w:rsidRPr="00002602">
        <w:t xml:space="preserve">o statistically validate these findings, a Paired Sample T-Test was performed. The analysis yielded a significance value (2-tailed) of </w:t>
      </w:r>
      <w:r w:rsidR="00002602" w:rsidRPr="00002602">
        <w:rPr>
          <w:i/>
          <w:iCs/>
        </w:rPr>
        <w:t>p = 0.001</w:t>
      </w:r>
      <w:r w:rsidR="00002602" w:rsidRPr="00002602">
        <w:t>, which is lower than the alpha level of 0.05 (</w:t>
      </w:r>
      <w:r w:rsidR="00002602" w:rsidRPr="00BF0078">
        <w:rPr>
          <w:i/>
          <w:iCs/>
        </w:rPr>
        <w:t>p &lt; 0.05</w:t>
      </w:r>
      <w:r w:rsidR="00002602" w:rsidRPr="00002602">
        <w:t>). Consequently, the null hypothesis (</w:t>
      </w:r>
      <w:r w:rsidR="00002602" w:rsidRPr="00002602">
        <w:rPr>
          <w:i/>
          <w:iCs/>
        </w:rPr>
        <w:t>H0</w:t>
      </w:r>
      <w:r w:rsidR="00002602" w:rsidRPr="00002602">
        <w:t>) was rejected, and the alternative hypothesis (</w:t>
      </w:r>
      <w:r w:rsidR="00002602" w:rsidRPr="00BF0078">
        <w:rPr>
          <w:i/>
          <w:iCs/>
        </w:rPr>
        <w:t>H1</w:t>
      </w:r>
      <w:r w:rsidR="00002602" w:rsidRPr="00002602">
        <w:t>) was accepted. This statistical evidence confirms that the digital comic intervention had a significant influence on students' academic performance.</w:t>
      </w:r>
    </w:p>
    <w:p w14:paraId="30A5C12B" w14:textId="3BF69353" w:rsidR="003D095F" w:rsidRDefault="00200C54" w:rsidP="00200C54">
      <w:pPr>
        <w:pStyle w:val="Heading2"/>
      </w:pPr>
      <w:r w:rsidRPr="00200C54">
        <w:t>Structural Equation Modeling (SEM) Analysis</w:t>
      </w:r>
    </w:p>
    <w:p w14:paraId="2BE7B622" w14:textId="4C2DD2AD" w:rsidR="009B19E7" w:rsidRDefault="00C2203D" w:rsidP="00200C54">
      <w:r w:rsidRPr="00C2203D">
        <w:t>Following the standard guidelines by</w:t>
      </w:r>
      <w:r>
        <w:t xml:space="preserve"> </w:t>
      </w:r>
      <w:r>
        <w:fldChar w:fldCharType="begin"/>
      </w:r>
      <w:r>
        <w:instrText xml:space="preserve"> ADDIN ZOTERO_ITEM CSL_CITATION {"citationID":"9WeE98ft","properties":{"unsorted":false,"formattedCitation":"(Hair et al., 2019)","plainCitation":"(Hair et al., 2019)","noteIndex":0},"citationItems":[{"id":362,"uris":["http://zotero.org/users/local/zqnAJ6Wa/items/M2PSYQGC"],"itemData":{"id":362,"type":"article-journal","container-title":"European business review","issue":"1","note":"ISBN: 0955-534X","page":"2-24","publisher":"Emerald Publishing Limited","title":"When to use and how to report the results of PLS-SEM","volume":"31","author":[{"family":"Hair","given":"Joseph F."},{"family":"Risher","given":"Jeffrey J."},{"family":"Sarstedt","given":"Marko"},{"family":"Ringle","given":"Christian M."}],"issued":{"date-parts":[["2019"]]}}}],"schema":"https://github.com/citation-style-language/schema/raw/master/csl-citation.json"} </w:instrText>
      </w:r>
      <w:r>
        <w:fldChar w:fldCharType="separate"/>
      </w:r>
      <w:r>
        <w:rPr>
          <w:noProof/>
        </w:rPr>
        <w:t>Hair et al. (2019)</w:t>
      </w:r>
      <w:r>
        <w:fldChar w:fldCharType="end"/>
      </w:r>
      <w:r w:rsidRPr="00C2203D">
        <w:t>, the evaluation of the PLS-SEM results was carried out in two main stages: the assessment of the measurement model (outer model) to ensure instrument reliability and validity, and the evaluation of the structural model (inner model) to test the proposed hypotheses.</w:t>
      </w:r>
    </w:p>
    <w:p w14:paraId="0D684D4F" w14:textId="68D923FC" w:rsidR="00C2203D" w:rsidRDefault="00E82C4B" w:rsidP="00E82C4B">
      <w:pPr>
        <w:pStyle w:val="Heading3"/>
      </w:pPr>
      <w:r w:rsidRPr="00E82C4B">
        <w:t>Measurement Model Assessment (Outer Model)</w:t>
      </w:r>
    </w:p>
    <w:p w14:paraId="5347EC81" w14:textId="019CE478" w:rsidR="00E82C4B" w:rsidRDefault="00E82C4B" w:rsidP="00E82C4B">
      <w:r>
        <w:t xml:space="preserve">The measurement model evaluation aims to confirm that the survey items accurately reflect their respective constructs. This was assessed through indicator reliability, internal consistency </w:t>
      </w:r>
      <w:r>
        <w:lastRenderedPageBreak/>
        <w:t>reliability, convergent validity, and discriminant validity. During the initial data trimming process, several indicators were removed to meet the strict statistical thresholds, resulting in a robust final model comprising three to four items per construct.</w:t>
      </w:r>
    </w:p>
    <w:p w14:paraId="491D140D" w14:textId="25D1EEA4" w:rsidR="00E82C4B" w:rsidRDefault="00C72AE9" w:rsidP="00E82C4B">
      <w:r w:rsidRPr="00C72AE9">
        <w:t xml:space="preserve">Table </w:t>
      </w:r>
      <w:r w:rsidR="00E3255D">
        <w:t>4</w:t>
      </w:r>
      <w:r w:rsidRPr="00C72AE9">
        <w:t xml:space="preserve">. Construct </w:t>
      </w:r>
      <w:r>
        <w:t>r</w:t>
      </w:r>
      <w:r w:rsidRPr="00C72AE9">
        <w:t xml:space="preserve">eliability and </w:t>
      </w:r>
      <w:r>
        <w:t>c</w:t>
      </w:r>
      <w:r w:rsidRPr="00C72AE9">
        <w:t xml:space="preserve">onvergent </w:t>
      </w:r>
      <w:r>
        <w:t>v</w:t>
      </w:r>
      <w:r w:rsidRPr="00C72AE9">
        <w:t>alidity</w:t>
      </w:r>
    </w:p>
    <w:tbl>
      <w:tblPr>
        <w:tblW w:w="9115" w:type="dxa"/>
        <w:tblLayout w:type="fixed"/>
        <w:tblLook w:val="04A0" w:firstRow="1" w:lastRow="0" w:firstColumn="1" w:lastColumn="0" w:noHBand="0" w:noVBand="1"/>
      </w:tblPr>
      <w:tblGrid>
        <w:gridCol w:w="3189"/>
        <w:gridCol w:w="1206"/>
        <w:gridCol w:w="1680"/>
        <w:gridCol w:w="1339"/>
        <w:gridCol w:w="851"/>
        <w:gridCol w:w="850"/>
      </w:tblGrid>
      <w:tr w:rsidR="00E13564" w:rsidRPr="00C72AE9" w14:paraId="420670A3" w14:textId="77777777" w:rsidTr="00B462C2">
        <w:trPr>
          <w:trHeight w:val="300"/>
        </w:trPr>
        <w:tc>
          <w:tcPr>
            <w:tcW w:w="3189" w:type="dxa"/>
            <w:tcBorders>
              <w:top w:val="nil"/>
              <w:left w:val="nil"/>
              <w:bottom w:val="nil"/>
              <w:right w:val="nil"/>
            </w:tcBorders>
            <w:noWrap/>
            <w:vAlign w:val="bottom"/>
            <w:hideMark/>
          </w:tcPr>
          <w:p w14:paraId="7C5702AF" w14:textId="77777777" w:rsidR="00C72AE9" w:rsidRPr="00C72AE9" w:rsidRDefault="00C72AE9">
            <w:pPr>
              <w:rPr>
                <w:rFonts w:ascii="Arial" w:hAnsi="Arial" w:cs="Arial"/>
                <w:b/>
                <w:bCs/>
                <w:color w:val="1F1F1F"/>
                <w:sz w:val="20"/>
                <w:szCs w:val="20"/>
              </w:rPr>
            </w:pPr>
            <w:r w:rsidRPr="00C72AE9">
              <w:rPr>
                <w:rFonts w:ascii="Arial" w:hAnsi="Arial" w:cs="Arial"/>
                <w:b/>
                <w:bCs/>
                <w:color w:val="1F1F1F"/>
                <w:sz w:val="20"/>
                <w:szCs w:val="20"/>
              </w:rPr>
              <w:t>Construct</w:t>
            </w:r>
          </w:p>
        </w:tc>
        <w:tc>
          <w:tcPr>
            <w:tcW w:w="1206" w:type="dxa"/>
            <w:tcBorders>
              <w:top w:val="nil"/>
              <w:left w:val="nil"/>
              <w:bottom w:val="nil"/>
              <w:right w:val="nil"/>
            </w:tcBorders>
            <w:noWrap/>
            <w:vAlign w:val="bottom"/>
            <w:hideMark/>
          </w:tcPr>
          <w:p w14:paraId="310EFFC4" w14:textId="77777777" w:rsidR="00C72AE9" w:rsidRPr="00C72AE9" w:rsidRDefault="00C72AE9">
            <w:pPr>
              <w:rPr>
                <w:rFonts w:ascii="Arial" w:hAnsi="Arial" w:cs="Arial"/>
                <w:b/>
                <w:bCs/>
                <w:color w:val="1F1F1F"/>
                <w:sz w:val="20"/>
                <w:szCs w:val="20"/>
              </w:rPr>
            </w:pPr>
            <w:r w:rsidRPr="00C72AE9">
              <w:rPr>
                <w:rFonts w:ascii="Arial" w:hAnsi="Arial" w:cs="Arial"/>
                <w:b/>
                <w:bCs/>
                <w:color w:val="1F1F1F"/>
                <w:sz w:val="20"/>
                <w:szCs w:val="20"/>
              </w:rPr>
              <w:t>Indicators</w:t>
            </w:r>
          </w:p>
        </w:tc>
        <w:tc>
          <w:tcPr>
            <w:tcW w:w="1680" w:type="dxa"/>
            <w:tcBorders>
              <w:top w:val="nil"/>
              <w:left w:val="nil"/>
              <w:bottom w:val="nil"/>
              <w:right w:val="nil"/>
            </w:tcBorders>
            <w:noWrap/>
            <w:vAlign w:val="bottom"/>
            <w:hideMark/>
          </w:tcPr>
          <w:p w14:paraId="2776D659" w14:textId="77777777" w:rsidR="00C72AE9" w:rsidRPr="00C72AE9" w:rsidRDefault="00C72AE9" w:rsidP="00B462C2">
            <w:pPr>
              <w:jc w:val="right"/>
              <w:rPr>
                <w:rFonts w:ascii="Arial" w:hAnsi="Arial" w:cs="Arial"/>
                <w:b/>
                <w:bCs/>
                <w:color w:val="1F1F1F"/>
                <w:sz w:val="20"/>
                <w:szCs w:val="20"/>
              </w:rPr>
            </w:pPr>
            <w:r w:rsidRPr="00C72AE9">
              <w:rPr>
                <w:rFonts w:ascii="Arial" w:hAnsi="Arial" w:cs="Arial"/>
                <w:b/>
                <w:bCs/>
                <w:color w:val="1F1F1F"/>
                <w:sz w:val="20"/>
                <w:szCs w:val="20"/>
              </w:rPr>
              <w:t>Outer Loadings</w:t>
            </w:r>
          </w:p>
        </w:tc>
        <w:tc>
          <w:tcPr>
            <w:tcW w:w="1339" w:type="dxa"/>
            <w:tcBorders>
              <w:top w:val="nil"/>
              <w:left w:val="nil"/>
              <w:bottom w:val="nil"/>
              <w:right w:val="nil"/>
            </w:tcBorders>
            <w:noWrap/>
            <w:vAlign w:val="bottom"/>
            <w:hideMark/>
          </w:tcPr>
          <w:p w14:paraId="1509ED80" w14:textId="77777777" w:rsidR="00C72AE9" w:rsidRPr="00C72AE9" w:rsidRDefault="00C72AE9" w:rsidP="00B462C2">
            <w:pPr>
              <w:jc w:val="right"/>
              <w:rPr>
                <w:rFonts w:ascii="Arial" w:hAnsi="Arial" w:cs="Arial"/>
                <w:b/>
                <w:bCs/>
                <w:color w:val="1F1F1F"/>
                <w:sz w:val="20"/>
                <w:szCs w:val="20"/>
              </w:rPr>
            </w:pPr>
            <w:r w:rsidRPr="00C72AE9">
              <w:rPr>
                <w:rFonts w:ascii="Arial" w:hAnsi="Arial" w:cs="Arial"/>
                <w:b/>
                <w:bCs/>
                <w:color w:val="1F1F1F"/>
                <w:sz w:val="20"/>
                <w:szCs w:val="20"/>
              </w:rPr>
              <w:t>Cronbach's Alpha</w:t>
            </w:r>
          </w:p>
        </w:tc>
        <w:tc>
          <w:tcPr>
            <w:tcW w:w="851" w:type="dxa"/>
            <w:tcBorders>
              <w:top w:val="nil"/>
              <w:left w:val="nil"/>
              <w:bottom w:val="nil"/>
              <w:right w:val="nil"/>
            </w:tcBorders>
            <w:noWrap/>
            <w:vAlign w:val="bottom"/>
            <w:hideMark/>
          </w:tcPr>
          <w:p w14:paraId="38E900D2" w14:textId="2490FF20" w:rsidR="00C72AE9" w:rsidRPr="00C72AE9" w:rsidRDefault="00C72AE9" w:rsidP="00B462C2">
            <w:pPr>
              <w:jc w:val="right"/>
              <w:rPr>
                <w:rFonts w:ascii="Arial" w:hAnsi="Arial" w:cs="Arial"/>
                <w:b/>
                <w:bCs/>
                <w:color w:val="1F1F1F"/>
                <w:sz w:val="20"/>
                <w:szCs w:val="20"/>
              </w:rPr>
            </w:pPr>
            <w:r w:rsidRPr="00C72AE9">
              <w:rPr>
                <w:rFonts w:ascii="Arial" w:hAnsi="Arial" w:cs="Arial"/>
                <w:b/>
                <w:bCs/>
                <w:color w:val="1F1F1F"/>
                <w:sz w:val="20"/>
                <w:szCs w:val="20"/>
              </w:rPr>
              <w:t>CR</w:t>
            </w:r>
          </w:p>
        </w:tc>
        <w:tc>
          <w:tcPr>
            <w:tcW w:w="850" w:type="dxa"/>
            <w:tcBorders>
              <w:top w:val="nil"/>
              <w:left w:val="nil"/>
              <w:bottom w:val="nil"/>
              <w:right w:val="nil"/>
            </w:tcBorders>
            <w:noWrap/>
            <w:vAlign w:val="bottom"/>
            <w:hideMark/>
          </w:tcPr>
          <w:p w14:paraId="5DD15067" w14:textId="77F39495" w:rsidR="00C72AE9" w:rsidRPr="00C72AE9" w:rsidRDefault="00C72AE9" w:rsidP="00B462C2">
            <w:pPr>
              <w:jc w:val="right"/>
              <w:rPr>
                <w:rFonts w:ascii="Arial" w:hAnsi="Arial" w:cs="Arial"/>
                <w:b/>
                <w:bCs/>
                <w:color w:val="1F1F1F"/>
                <w:sz w:val="20"/>
                <w:szCs w:val="20"/>
              </w:rPr>
            </w:pPr>
            <w:r w:rsidRPr="00C72AE9">
              <w:rPr>
                <w:rFonts w:ascii="Arial" w:hAnsi="Arial" w:cs="Arial"/>
                <w:b/>
                <w:bCs/>
                <w:color w:val="1F1F1F"/>
                <w:sz w:val="20"/>
                <w:szCs w:val="20"/>
              </w:rPr>
              <w:t>AVE</w:t>
            </w:r>
          </w:p>
        </w:tc>
      </w:tr>
      <w:tr w:rsidR="002D7BC2" w:rsidRPr="00C72AE9" w14:paraId="681B9DD3" w14:textId="77777777" w:rsidTr="00CB095C">
        <w:trPr>
          <w:trHeight w:val="300"/>
        </w:trPr>
        <w:tc>
          <w:tcPr>
            <w:tcW w:w="3189" w:type="dxa"/>
            <w:vMerge w:val="restart"/>
            <w:tcBorders>
              <w:top w:val="nil"/>
              <w:left w:val="nil"/>
              <w:right w:val="nil"/>
            </w:tcBorders>
            <w:noWrap/>
            <w:vAlign w:val="bottom"/>
            <w:hideMark/>
          </w:tcPr>
          <w:p w14:paraId="0C1BE24D" w14:textId="77777777" w:rsidR="002D7BC2" w:rsidRPr="00C72AE9" w:rsidRDefault="002D7BC2">
            <w:pPr>
              <w:rPr>
                <w:rFonts w:ascii="Arial" w:hAnsi="Arial" w:cs="Arial"/>
                <w:b/>
                <w:bCs/>
                <w:color w:val="1F1F1F"/>
                <w:sz w:val="20"/>
                <w:szCs w:val="20"/>
              </w:rPr>
            </w:pPr>
            <w:r w:rsidRPr="00C72AE9">
              <w:rPr>
                <w:rFonts w:ascii="Arial" w:hAnsi="Arial" w:cs="Arial"/>
                <w:b/>
                <w:bCs/>
                <w:color w:val="1F1F1F"/>
                <w:sz w:val="20"/>
                <w:szCs w:val="20"/>
              </w:rPr>
              <w:t>Computer Comprehension (CC)</w:t>
            </w:r>
          </w:p>
        </w:tc>
        <w:tc>
          <w:tcPr>
            <w:tcW w:w="1206" w:type="dxa"/>
            <w:tcBorders>
              <w:top w:val="nil"/>
              <w:left w:val="nil"/>
              <w:bottom w:val="nil"/>
              <w:right w:val="nil"/>
            </w:tcBorders>
            <w:noWrap/>
            <w:vAlign w:val="bottom"/>
            <w:hideMark/>
          </w:tcPr>
          <w:p w14:paraId="24C56995" w14:textId="77777777" w:rsidR="002D7BC2" w:rsidRPr="00C72AE9" w:rsidRDefault="002D7BC2">
            <w:pPr>
              <w:rPr>
                <w:rFonts w:ascii="Arial" w:hAnsi="Arial" w:cs="Arial"/>
                <w:color w:val="1F1F1F"/>
                <w:sz w:val="20"/>
                <w:szCs w:val="20"/>
              </w:rPr>
            </w:pPr>
            <w:r w:rsidRPr="00C72AE9">
              <w:rPr>
                <w:rFonts w:ascii="Arial" w:hAnsi="Arial" w:cs="Arial"/>
                <w:color w:val="1F1F1F"/>
                <w:sz w:val="20"/>
                <w:szCs w:val="20"/>
              </w:rPr>
              <w:t>CC1</w:t>
            </w:r>
          </w:p>
        </w:tc>
        <w:tc>
          <w:tcPr>
            <w:tcW w:w="1680" w:type="dxa"/>
            <w:tcBorders>
              <w:top w:val="nil"/>
              <w:left w:val="nil"/>
              <w:bottom w:val="nil"/>
              <w:right w:val="nil"/>
            </w:tcBorders>
            <w:noWrap/>
            <w:vAlign w:val="bottom"/>
            <w:hideMark/>
          </w:tcPr>
          <w:p w14:paraId="44704927" w14:textId="77777777" w:rsidR="002D7BC2" w:rsidRPr="00C72AE9" w:rsidRDefault="002D7BC2">
            <w:pPr>
              <w:jc w:val="right"/>
              <w:rPr>
                <w:rFonts w:ascii="Arial" w:hAnsi="Arial" w:cs="Arial"/>
                <w:color w:val="1F1F1F"/>
                <w:sz w:val="20"/>
                <w:szCs w:val="20"/>
              </w:rPr>
            </w:pPr>
            <w:r w:rsidRPr="00C72AE9">
              <w:rPr>
                <w:rFonts w:ascii="Arial" w:hAnsi="Arial" w:cs="Arial"/>
                <w:color w:val="1F1F1F"/>
                <w:sz w:val="20"/>
                <w:szCs w:val="20"/>
              </w:rPr>
              <w:t>0.872</w:t>
            </w:r>
          </w:p>
        </w:tc>
        <w:tc>
          <w:tcPr>
            <w:tcW w:w="1339" w:type="dxa"/>
            <w:tcBorders>
              <w:top w:val="nil"/>
              <w:left w:val="nil"/>
              <w:bottom w:val="nil"/>
              <w:right w:val="nil"/>
            </w:tcBorders>
            <w:noWrap/>
            <w:vAlign w:val="bottom"/>
            <w:hideMark/>
          </w:tcPr>
          <w:p w14:paraId="22B336B6" w14:textId="4FBA27ED" w:rsidR="002D7BC2" w:rsidRPr="00C72AE9" w:rsidRDefault="002D7BC2" w:rsidP="00E13564">
            <w:pPr>
              <w:jc w:val="right"/>
              <w:rPr>
                <w:rFonts w:ascii="Arial" w:hAnsi="Arial" w:cs="Arial"/>
                <w:i/>
                <w:iCs/>
                <w:color w:val="1F1F1F"/>
                <w:sz w:val="20"/>
                <w:szCs w:val="20"/>
              </w:rPr>
            </w:pPr>
            <w:r w:rsidRPr="00C72AE9">
              <w:rPr>
                <w:rFonts w:ascii="Arial" w:hAnsi="Arial" w:cs="Arial"/>
                <w:i/>
                <w:iCs/>
                <w:color w:val="1F1F1F"/>
                <w:sz w:val="20"/>
                <w:szCs w:val="20"/>
              </w:rPr>
              <w:t>0.863</w:t>
            </w:r>
          </w:p>
        </w:tc>
        <w:tc>
          <w:tcPr>
            <w:tcW w:w="851" w:type="dxa"/>
            <w:tcBorders>
              <w:top w:val="nil"/>
              <w:left w:val="nil"/>
              <w:bottom w:val="nil"/>
              <w:right w:val="nil"/>
            </w:tcBorders>
            <w:noWrap/>
            <w:vAlign w:val="bottom"/>
            <w:hideMark/>
          </w:tcPr>
          <w:p w14:paraId="504699EA" w14:textId="3969E1A7" w:rsidR="002D7BC2" w:rsidRPr="00C72AE9" w:rsidRDefault="002D7BC2" w:rsidP="00E13564">
            <w:pPr>
              <w:jc w:val="right"/>
              <w:rPr>
                <w:rFonts w:ascii="Arial" w:hAnsi="Arial" w:cs="Arial"/>
                <w:i/>
                <w:iCs/>
                <w:color w:val="1F1F1F"/>
                <w:sz w:val="20"/>
                <w:szCs w:val="20"/>
              </w:rPr>
            </w:pPr>
            <w:r>
              <w:rPr>
                <w:rFonts w:ascii="Arial" w:hAnsi="Arial" w:cs="Arial"/>
                <w:i/>
                <w:iCs/>
                <w:color w:val="1F1F1F"/>
                <w:sz w:val="20"/>
                <w:szCs w:val="20"/>
              </w:rPr>
              <w:t>0.891</w:t>
            </w:r>
          </w:p>
        </w:tc>
        <w:tc>
          <w:tcPr>
            <w:tcW w:w="850" w:type="dxa"/>
            <w:tcBorders>
              <w:top w:val="nil"/>
              <w:left w:val="nil"/>
              <w:bottom w:val="nil"/>
              <w:right w:val="nil"/>
            </w:tcBorders>
            <w:noWrap/>
            <w:vAlign w:val="bottom"/>
            <w:hideMark/>
          </w:tcPr>
          <w:p w14:paraId="3F8B8FE2" w14:textId="19356686" w:rsidR="002D7BC2" w:rsidRPr="00C72AE9" w:rsidRDefault="002D7BC2" w:rsidP="00E13564">
            <w:pPr>
              <w:jc w:val="right"/>
              <w:rPr>
                <w:rFonts w:ascii="Arial" w:hAnsi="Arial" w:cs="Arial"/>
                <w:i/>
                <w:iCs/>
                <w:color w:val="1F1F1F"/>
                <w:sz w:val="20"/>
                <w:szCs w:val="20"/>
              </w:rPr>
            </w:pPr>
            <w:r>
              <w:rPr>
                <w:rFonts w:ascii="Arial" w:hAnsi="Arial" w:cs="Arial"/>
                <w:i/>
                <w:iCs/>
                <w:color w:val="1F1F1F"/>
                <w:sz w:val="20"/>
                <w:szCs w:val="20"/>
              </w:rPr>
              <w:t>0.708</w:t>
            </w:r>
          </w:p>
        </w:tc>
      </w:tr>
      <w:tr w:rsidR="002D7BC2" w:rsidRPr="00C72AE9" w14:paraId="2FBE5CA2" w14:textId="77777777" w:rsidTr="00CB095C">
        <w:trPr>
          <w:trHeight w:val="300"/>
        </w:trPr>
        <w:tc>
          <w:tcPr>
            <w:tcW w:w="3189" w:type="dxa"/>
            <w:vMerge/>
            <w:tcBorders>
              <w:left w:val="nil"/>
              <w:bottom w:val="nil"/>
              <w:right w:val="nil"/>
            </w:tcBorders>
            <w:noWrap/>
            <w:vAlign w:val="bottom"/>
            <w:hideMark/>
          </w:tcPr>
          <w:p w14:paraId="0682A7DC" w14:textId="77777777" w:rsidR="002D7BC2" w:rsidRPr="00C72AE9" w:rsidRDefault="002D7BC2">
            <w:pPr>
              <w:rPr>
                <w:rFonts w:ascii="Arial" w:hAnsi="Arial" w:cs="Arial"/>
                <w:i/>
                <w:iCs/>
                <w:color w:val="1F1F1F"/>
                <w:sz w:val="20"/>
                <w:szCs w:val="20"/>
              </w:rPr>
            </w:pPr>
          </w:p>
        </w:tc>
        <w:tc>
          <w:tcPr>
            <w:tcW w:w="1206" w:type="dxa"/>
            <w:tcBorders>
              <w:top w:val="nil"/>
              <w:left w:val="nil"/>
              <w:bottom w:val="nil"/>
              <w:right w:val="nil"/>
            </w:tcBorders>
            <w:noWrap/>
            <w:vAlign w:val="bottom"/>
            <w:hideMark/>
          </w:tcPr>
          <w:p w14:paraId="5D6E4E3B" w14:textId="77777777" w:rsidR="002D7BC2" w:rsidRPr="00C72AE9" w:rsidRDefault="002D7BC2">
            <w:pPr>
              <w:rPr>
                <w:rFonts w:ascii="Arial" w:hAnsi="Arial" w:cs="Arial"/>
                <w:color w:val="1F1F1F"/>
                <w:sz w:val="20"/>
                <w:szCs w:val="20"/>
              </w:rPr>
            </w:pPr>
            <w:r w:rsidRPr="00C72AE9">
              <w:rPr>
                <w:rFonts w:ascii="Arial" w:hAnsi="Arial" w:cs="Arial"/>
                <w:color w:val="1F1F1F"/>
                <w:sz w:val="20"/>
                <w:szCs w:val="20"/>
              </w:rPr>
              <w:t>CC2</w:t>
            </w:r>
          </w:p>
        </w:tc>
        <w:tc>
          <w:tcPr>
            <w:tcW w:w="1680" w:type="dxa"/>
            <w:tcBorders>
              <w:top w:val="nil"/>
              <w:left w:val="nil"/>
              <w:bottom w:val="nil"/>
              <w:right w:val="nil"/>
            </w:tcBorders>
            <w:noWrap/>
            <w:vAlign w:val="bottom"/>
            <w:hideMark/>
          </w:tcPr>
          <w:p w14:paraId="6BBC06D2" w14:textId="77777777" w:rsidR="002D7BC2" w:rsidRPr="00C72AE9" w:rsidRDefault="002D7BC2">
            <w:pPr>
              <w:jc w:val="right"/>
              <w:rPr>
                <w:rFonts w:ascii="Arial" w:hAnsi="Arial" w:cs="Arial"/>
                <w:color w:val="1F1F1F"/>
                <w:sz w:val="20"/>
                <w:szCs w:val="20"/>
              </w:rPr>
            </w:pPr>
            <w:r w:rsidRPr="00C72AE9">
              <w:rPr>
                <w:rFonts w:ascii="Arial" w:hAnsi="Arial" w:cs="Arial"/>
                <w:color w:val="1F1F1F"/>
                <w:sz w:val="20"/>
                <w:szCs w:val="20"/>
              </w:rPr>
              <w:t>0.856</w:t>
            </w:r>
          </w:p>
        </w:tc>
        <w:tc>
          <w:tcPr>
            <w:tcW w:w="1339" w:type="dxa"/>
            <w:tcBorders>
              <w:top w:val="nil"/>
              <w:left w:val="nil"/>
              <w:bottom w:val="nil"/>
              <w:right w:val="nil"/>
            </w:tcBorders>
            <w:noWrap/>
            <w:vAlign w:val="bottom"/>
            <w:hideMark/>
          </w:tcPr>
          <w:p w14:paraId="275E9AE1" w14:textId="77777777" w:rsidR="002D7BC2" w:rsidRPr="00C72AE9" w:rsidRDefault="002D7BC2"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7368757D" w14:textId="77777777" w:rsidR="002D7BC2" w:rsidRPr="00C72AE9" w:rsidRDefault="002D7BC2" w:rsidP="00E13564">
            <w:pPr>
              <w:jc w:val="right"/>
              <w:rPr>
                <w:sz w:val="20"/>
                <w:szCs w:val="20"/>
              </w:rPr>
            </w:pPr>
          </w:p>
        </w:tc>
        <w:tc>
          <w:tcPr>
            <w:tcW w:w="850" w:type="dxa"/>
            <w:tcBorders>
              <w:top w:val="nil"/>
              <w:left w:val="nil"/>
              <w:bottom w:val="nil"/>
              <w:right w:val="nil"/>
            </w:tcBorders>
            <w:noWrap/>
            <w:vAlign w:val="bottom"/>
            <w:hideMark/>
          </w:tcPr>
          <w:p w14:paraId="09702EC1" w14:textId="77777777" w:rsidR="002D7BC2" w:rsidRPr="00C72AE9" w:rsidRDefault="002D7BC2" w:rsidP="00E13564">
            <w:pPr>
              <w:jc w:val="right"/>
              <w:rPr>
                <w:sz w:val="20"/>
                <w:szCs w:val="20"/>
              </w:rPr>
            </w:pPr>
          </w:p>
        </w:tc>
      </w:tr>
      <w:tr w:rsidR="00E13564" w:rsidRPr="00C72AE9" w14:paraId="0B384AA5" w14:textId="77777777" w:rsidTr="00B462C2">
        <w:trPr>
          <w:trHeight w:val="300"/>
        </w:trPr>
        <w:tc>
          <w:tcPr>
            <w:tcW w:w="3189" w:type="dxa"/>
            <w:tcBorders>
              <w:top w:val="nil"/>
              <w:left w:val="nil"/>
              <w:bottom w:val="nil"/>
              <w:right w:val="nil"/>
            </w:tcBorders>
            <w:noWrap/>
            <w:vAlign w:val="bottom"/>
            <w:hideMark/>
          </w:tcPr>
          <w:p w14:paraId="34F4875F" w14:textId="77777777" w:rsidR="00C72AE9" w:rsidRPr="00C72AE9" w:rsidRDefault="00C72AE9">
            <w:pPr>
              <w:rPr>
                <w:sz w:val="20"/>
                <w:szCs w:val="20"/>
              </w:rPr>
            </w:pPr>
          </w:p>
        </w:tc>
        <w:tc>
          <w:tcPr>
            <w:tcW w:w="1206" w:type="dxa"/>
            <w:tcBorders>
              <w:top w:val="nil"/>
              <w:left w:val="nil"/>
              <w:bottom w:val="nil"/>
              <w:right w:val="nil"/>
            </w:tcBorders>
            <w:noWrap/>
            <w:vAlign w:val="bottom"/>
            <w:hideMark/>
          </w:tcPr>
          <w:p w14:paraId="23FA1D28"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CC3</w:t>
            </w:r>
          </w:p>
        </w:tc>
        <w:tc>
          <w:tcPr>
            <w:tcW w:w="1680" w:type="dxa"/>
            <w:tcBorders>
              <w:top w:val="nil"/>
              <w:left w:val="nil"/>
              <w:bottom w:val="nil"/>
              <w:right w:val="nil"/>
            </w:tcBorders>
            <w:noWrap/>
            <w:vAlign w:val="bottom"/>
            <w:hideMark/>
          </w:tcPr>
          <w:p w14:paraId="4D3D529C"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0.73</w:t>
            </w:r>
          </w:p>
        </w:tc>
        <w:tc>
          <w:tcPr>
            <w:tcW w:w="1339" w:type="dxa"/>
            <w:tcBorders>
              <w:top w:val="nil"/>
              <w:left w:val="nil"/>
              <w:bottom w:val="nil"/>
              <w:right w:val="nil"/>
            </w:tcBorders>
            <w:noWrap/>
            <w:vAlign w:val="bottom"/>
            <w:hideMark/>
          </w:tcPr>
          <w:p w14:paraId="449704A9" w14:textId="77777777" w:rsidR="00C72AE9" w:rsidRPr="00C72AE9" w:rsidRDefault="00C72AE9"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709AA700" w14:textId="77777777" w:rsidR="00C72AE9" w:rsidRPr="00C72AE9" w:rsidRDefault="00C72AE9" w:rsidP="00E13564">
            <w:pPr>
              <w:jc w:val="right"/>
              <w:rPr>
                <w:sz w:val="20"/>
                <w:szCs w:val="20"/>
              </w:rPr>
            </w:pPr>
          </w:p>
        </w:tc>
        <w:tc>
          <w:tcPr>
            <w:tcW w:w="850" w:type="dxa"/>
            <w:tcBorders>
              <w:top w:val="nil"/>
              <w:left w:val="nil"/>
              <w:bottom w:val="nil"/>
              <w:right w:val="nil"/>
            </w:tcBorders>
            <w:noWrap/>
            <w:vAlign w:val="bottom"/>
            <w:hideMark/>
          </w:tcPr>
          <w:p w14:paraId="7805A282" w14:textId="77777777" w:rsidR="00C72AE9" w:rsidRPr="00C72AE9" w:rsidRDefault="00C72AE9" w:rsidP="00E13564">
            <w:pPr>
              <w:jc w:val="right"/>
              <w:rPr>
                <w:sz w:val="20"/>
                <w:szCs w:val="20"/>
              </w:rPr>
            </w:pPr>
          </w:p>
        </w:tc>
      </w:tr>
      <w:tr w:rsidR="00E13564" w:rsidRPr="00C72AE9" w14:paraId="3F327C9A" w14:textId="77777777" w:rsidTr="00B462C2">
        <w:trPr>
          <w:trHeight w:val="300"/>
        </w:trPr>
        <w:tc>
          <w:tcPr>
            <w:tcW w:w="3189" w:type="dxa"/>
            <w:tcBorders>
              <w:top w:val="nil"/>
              <w:left w:val="nil"/>
              <w:bottom w:val="nil"/>
              <w:right w:val="nil"/>
            </w:tcBorders>
            <w:noWrap/>
            <w:vAlign w:val="bottom"/>
            <w:hideMark/>
          </w:tcPr>
          <w:p w14:paraId="09944156" w14:textId="77777777" w:rsidR="00C72AE9" w:rsidRPr="00C72AE9" w:rsidRDefault="00C72AE9">
            <w:pPr>
              <w:rPr>
                <w:sz w:val="20"/>
                <w:szCs w:val="20"/>
              </w:rPr>
            </w:pPr>
          </w:p>
        </w:tc>
        <w:tc>
          <w:tcPr>
            <w:tcW w:w="1206" w:type="dxa"/>
            <w:tcBorders>
              <w:top w:val="nil"/>
              <w:left w:val="nil"/>
              <w:bottom w:val="nil"/>
              <w:right w:val="nil"/>
            </w:tcBorders>
            <w:noWrap/>
            <w:vAlign w:val="bottom"/>
            <w:hideMark/>
          </w:tcPr>
          <w:p w14:paraId="179B25DC"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CC4</w:t>
            </w:r>
          </w:p>
        </w:tc>
        <w:tc>
          <w:tcPr>
            <w:tcW w:w="1680" w:type="dxa"/>
            <w:tcBorders>
              <w:top w:val="nil"/>
              <w:left w:val="nil"/>
              <w:bottom w:val="nil"/>
              <w:right w:val="nil"/>
            </w:tcBorders>
            <w:noWrap/>
            <w:vAlign w:val="bottom"/>
            <w:hideMark/>
          </w:tcPr>
          <w:p w14:paraId="36082371"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0.897</w:t>
            </w:r>
          </w:p>
        </w:tc>
        <w:tc>
          <w:tcPr>
            <w:tcW w:w="1339" w:type="dxa"/>
            <w:tcBorders>
              <w:top w:val="nil"/>
              <w:left w:val="nil"/>
              <w:bottom w:val="nil"/>
              <w:right w:val="nil"/>
            </w:tcBorders>
            <w:noWrap/>
            <w:vAlign w:val="bottom"/>
            <w:hideMark/>
          </w:tcPr>
          <w:p w14:paraId="71447A91" w14:textId="77777777" w:rsidR="00C72AE9" w:rsidRPr="00C72AE9" w:rsidRDefault="00C72AE9"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6B1F08AE" w14:textId="77777777" w:rsidR="00C72AE9" w:rsidRPr="00C72AE9" w:rsidRDefault="00C72AE9" w:rsidP="00E13564">
            <w:pPr>
              <w:jc w:val="right"/>
              <w:rPr>
                <w:sz w:val="20"/>
                <w:szCs w:val="20"/>
              </w:rPr>
            </w:pPr>
          </w:p>
        </w:tc>
        <w:tc>
          <w:tcPr>
            <w:tcW w:w="850" w:type="dxa"/>
            <w:tcBorders>
              <w:top w:val="nil"/>
              <w:left w:val="nil"/>
              <w:bottom w:val="nil"/>
              <w:right w:val="nil"/>
            </w:tcBorders>
            <w:noWrap/>
            <w:vAlign w:val="bottom"/>
            <w:hideMark/>
          </w:tcPr>
          <w:p w14:paraId="209CECBB" w14:textId="77777777" w:rsidR="00C72AE9" w:rsidRPr="00C72AE9" w:rsidRDefault="00C72AE9" w:rsidP="00E13564">
            <w:pPr>
              <w:jc w:val="right"/>
              <w:rPr>
                <w:sz w:val="20"/>
                <w:szCs w:val="20"/>
              </w:rPr>
            </w:pPr>
          </w:p>
        </w:tc>
      </w:tr>
      <w:tr w:rsidR="00E13564" w:rsidRPr="00C72AE9" w14:paraId="34F67887" w14:textId="77777777" w:rsidTr="00B462C2">
        <w:trPr>
          <w:trHeight w:val="300"/>
        </w:trPr>
        <w:tc>
          <w:tcPr>
            <w:tcW w:w="3189" w:type="dxa"/>
            <w:tcBorders>
              <w:top w:val="nil"/>
              <w:left w:val="nil"/>
              <w:bottom w:val="nil"/>
              <w:right w:val="nil"/>
            </w:tcBorders>
            <w:noWrap/>
            <w:vAlign w:val="bottom"/>
            <w:hideMark/>
          </w:tcPr>
          <w:p w14:paraId="0EE30268" w14:textId="77777777" w:rsidR="00C72AE9" w:rsidRPr="00C72AE9" w:rsidRDefault="00C72AE9">
            <w:pPr>
              <w:rPr>
                <w:rFonts w:ascii="Arial" w:hAnsi="Arial" w:cs="Arial"/>
                <w:b/>
                <w:bCs/>
                <w:color w:val="1F1F1F"/>
                <w:sz w:val="20"/>
                <w:szCs w:val="20"/>
              </w:rPr>
            </w:pPr>
            <w:r w:rsidRPr="00C72AE9">
              <w:rPr>
                <w:rFonts w:ascii="Arial" w:hAnsi="Arial" w:cs="Arial"/>
                <w:b/>
                <w:bCs/>
                <w:color w:val="1F1F1F"/>
                <w:sz w:val="20"/>
                <w:szCs w:val="20"/>
              </w:rPr>
              <w:t>Digital Comics Media (DCM)</w:t>
            </w:r>
          </w:p>
        </w:tc>
        <w:tc>
          <w:tcPr>
            <w:tcW w:w="1206" w:type="dxa"/>
            <w:tcBorders>
              <w:top w:val="nil"/>
              <w:left w:val="nil"/>
              <w:bottom w:val="nil"/>
              <w:right w:val="nil"/>
            </w:tcBorders>
            <w:noWrap/>
            <w:vAlign w:val="bottom"/>
            <w:hideMark/>
          </w:tcPr>
          <w:p w14:paraId="35DFF6D2"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DCM2</w:t>
            </w:r>
          </w:p>
        </w:tc>
        <w:tc>
          <w:tcPr>
            <w:tcW w:w="1680" w:type="dxa"/>
            <w:tcBorders>
              <w:top w:val="nil"/>
              <w:left w:val="nil"/>
              <w:bottom w:val="nil"/>
              <w:right w:val="nil"/>
            </w:tcBorders>
            <w:noWrap/>
            <w:vAlign w:val="bottom"/>
            <w:hideMark/>
          </w:tcPr>
          <w:p w14:paraId="6C0CA21D"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0.905</w:t>
            </w:r>
          </w:p>
        </w:tc>
        <w:tc>
          <w:tcPr>
            <w:tcW w:w="1339" w:type="dxa"/>
            <w:tcBorders>
              <w:top w:val="nil"/>
              <w:left w:val="nil"/>
              <w:bottom w:val="nil"/>
              <w:right w:val="nil"/>
            </w:tcBorders>
            <w:noWrap/>
            <w:vAlign w:val="bottom"/>
            <w:hideMark/>
          </w:tcPr>
          <w:p w14:paraId="3BB42BD8" w14:textId="29F549F6" w:rsidR="00C72AE9" w:rsidRPr="00C72AE9" w:rsidRDefault="00C72AE9" w:rsidP="00E13564">
            <w:pPr>
              <w:jc w:val="right"/>
              <w:rPr>
                <w:rFonts w:ascii="Arial" w:hAnsi="Arial" w:cs="Arial"/>
                <w:i/>
                <w:iCs/>
                <w:color w:val="1F1F1F"/>
                <w:sz w:val="20"/>
                <w:szCs w:val="20"/>
              </w:rPr>
            </w:pPr>
            <w:r>
              <w:rPr>
                <w:rFonts w:ascii="Arial" w:hAnsi="Arial" w:cs="Arial"/>
                <w:i/>
                <w:iCs/>
                <w:color w:val="1F1F1F"/>
                <w:sz w:val="20"/>
                <w:szCs w:val="20"/>
              </w:rPr>
              <w:t>0.915</w:t>
            </w:r>
          </w:p>
        </w:tc>
        <w:tc>
          <w:tcPr>
            <w:tcW w:w="851" w:type="dxa"/>
            <w:tcBorders>
              <w:top w:val="nil"/>
              <w:left w:val="nil"/>
              <w:bottom w:val="nil"/>
              <w:right w:val="nil"/>
            </w:tcBorders>
            <w:noWrap/>
            <w:vAlign w:val="bottom"/>
            <w:hideMark/>
          </w:tcPr>
          <w:p w14:paraId="0A02DA4F" w14:textId="20EDD21F" w:rsidR="00C72AE9" w:rsidRPr="00C72AE9" w:rsidRDefault="009B3790" w:rsidP="00E13564">
            <w:pPr>
              <w:jc w:val="right"/>
              <w:rPr>
                <w:rFonts w:ascii="Arial" w:hAnsi="Arial" w:cs="Arial"/>
                <w:i/>
                <w:iCs/>
                <w:color w:val="1F1F1F"/>
                <w:sz w:val="20"/>
                <w:szCs w:val="20"/>
              </w:rPr>
            </w:pPr>
            <w:r>
              <w:rPr>
                <w:rFonts w:ascii="Arial" w:hAnsi="Arial" w:cs="Arial"/>
                <w:i/>
                <w:iCs/>
                <w:color w:val="1F1F1F"/>
                <w:sz w:val="20"/>
                <w:szCs w:val="20"/>
              </w:rPr>
              <w:t>0.92</w:t>
            </w:r>
          </w:p>
        </w:tc>
        <w:tc>
          <w:tcPr>
            <w:tcW w:w="850" w:type="dxa"/>
            <w:tcBorders>
              <w:top w:val="nil"/>
              <w:left w:val="nil"/>
              <w:bottom w:val="nil"/>
              <w:right w:val="nil"/>
            </w:tcBorders>
            <w:noWrap/>
            <w:vAlign w:val="bottom"/>
            <w:hideMark/>
          </w:tcPr>
          <w:p w14:paraId="2A7DBE33" w14:textId="3B36C6C6" w:rsidR="00C72AE9" w:rsidRPr="00C72AE9" w:rsidRDefault="009B3790" w:rsidP="00E13564">
            <w:pPr>
              <w:jc w:val="right"/>
              <w:rPr>
                <w:rFonts w:ascii="Arial" w:hAnsi="Arial" w:cs="Arial"/>
                <w:i/>
                <w:iCs/>
                <w:color w:val="1F1F1F"/>
                <w:sz w:val="20"/>
                <w:szCs w:val="20"/>
              </w:rPr>
            </w:pPr>
            <w:r>
              <w:rPr>
                <w:rFonts w:ascii="Arial" w:hAnsi="Arial" w:cs="Arial"/>
                <w:i/>
                <w:iCs/>
                <w:color w:val="1F1F1F"/>
                <w:sz w:val="20"/>
                <w:szCs w:val="20"/>
              </w:rPr>
              <w:t>0.855</w:t>
            </w:r>
          </w:p>
        </w:tc>
      </w:tr>
      <w:tr w:rsidR="00E13564" w:rsidRPr="00C72AE9" w14:paraId="2688F11A" w14:textId="77777777" w:rsidTr="00B462C2">
        <w:trPr>
          <w:trHeight w:val="300"/>
        </w:trPr>
        <w:tc>
          <w:tcPr>
            <w:tcW w:w="3189" w:type="dxa"/>
            <w:tcBorders>
              <w:top w:val="nil"/>
              <w:left w:val="nil"/>
              <w:bottom w:val="nil"/>
              <w:right w:val="nil"/>
            </w:tcBorders>
            <w:noWrap/>
            <w:vAlign w:val="bottom"/>
            <w:hideMark/>
          </w:tcPr>
          <w:p w14:paraId="6E7AB040" w14:textId="77777777" w:rsidR="00C72AE9" w:rsidRPr="00C72AE9" w:rsidRDefault="00C72AE9">
            <w:pPr>
              <w:rPr>
                <w:rFonts w:ascii="Arial" w:hAnsi="Arial" w:cs="Arial"/>
                <w:i/>
                <w:iCs/>
                <w:color w:val="1F1F1F"/>
                <w:sz w:val="20"/>
                <w:szCs w:val="20"/>
              </w:rPr>
            </w:pPr>
          </w:p>
        </w:tc>
        <w:tc>
          <w:tcPr>
            <w:tcW w:w="1206" w:type="dxa"/>
            <w:tcBorders>
              <w:top w:val="nil"/>
              <w:left w:val="nil"/>
              <w:bottom w:val="nil"/>
              <w:right w:val="nil"/>
            </w:tcBorders>
            <w:noWrap/>
            <w:vAlign w:val="bottom"/>
            <w:hideMark/>
          </w:tcPr>
          <w:p w14:paraId="73C885F3"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DCM3</w:t>
            </w:r>
          </w:p>
        </w:tc>
        <w:tc>
          <w:tcPr>
            <w:tcW w:w="1680" w:type="dxa"/>
            <w:tcBorders>
              <w:top w:val="nil"/>
              <w:left w:val="nil"/>
              <w:bottom w:val="nil"/>
              <w:right w:val="nil"/>
            </w:tcBorders>
            <w:noWrap/>
            <w:vAlign w:val="bottom"/>
            <w:hideMark/>
          </w:tcPr>
          <w:p w14:paraId="6EC7C179"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0.912</w:t>
            </w:r>
          </w:p>
        </w:tc>
        <w:tc>
          <w:tcPr>
            <w:tcW w:w="1339" w:type="dxa"/>
            <w:tcBorders>
              <w:top w:val="nil"/>
              <w:left w:val="nil"/>
              <w:bottom w:val="nil"/>
              <w:right w:val="nil"/>
            </w:tcBorders>
            <w:noWrap/>
            <w:vAlign w:val="bottom"/>
            <w:hideMark/>
          </w:tcPr>
          <w:p w14:paraId="00562517" w14:textId="77777777" w:rsidR="00C72AE9" w:rsidRPr="00C72AE9" w:rsidRDefault="00C72AE9"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03D986A7" w14:textId="77777777" w:rsidR="00C72AE9" w:rsidRPr="00C72AE9" w:rsidRDefault="00C72AE9" w:rsidP="00E13564">
            <w:pPr>
              <w:jc w:val="right"/>
              <w:rPr>
                <w:sz w:val="20"/>
                <w:szCs w:val="20"/>
              </w:rPr>
            </w:pPr>
          </w:p>
        </w:tc>
        <w:tc>
          <w:tcPr>
            <w:tcW w:w="850" w:type="dxa"/>
            <w:tcBorders>
              <w:top w:val="nil"/>
              <w:left w:val="nil"/>
              <w:bottom w:val="nil"/>
              <w:right w:val="nil"/>
            </w:tcBorders>
            <w:noWrap/>
            <w:vAlign w:val="bottom"/>
            <w:hideMark/>
          </w:tcPr>
          <w:p w14:paraId="4B0F56FC" w14:textId="77777777" w:rsidR="00C72AE9" w:rsidRPr="00C72AE9" w:rsidRDefault="00C72AE9" w:rsidP="00E13564">
            <w:pPr>
              <w:jc w:val="right"/>
              <w:rPr>
                <w:sz w:val="20"/>
                <w:szCs w:val="20"/>
              </w:rPr>
            </w:pPr>
          </w:p>
        </w:tc>
      </w:tr>
      <w:tr w:rsidR="00E13564" w:rsidRPr="00C72AE9" w14:paraId="32E5C0DF" w14:textId="77777777" w:rsidTr="00B462C2">
        <w:trPr>
          <w:trHeight w:val="300"/>
        </w:trPr>
        <w:tc>
          <w:tcPr>
            <w:tcW w:w="3189" w:type="dxa"/>
            <w:tcBorders>
              <w:top w:val="nil"/>
              <w:left w:val="nil"/>
              <w:bottom w:val="nil"/>
              <w:right w:val="nil"/>
            </w:tcBorders>
            <w:noWrap/>
            <w:vAlign w:val="bottom"/>
            <w:hideMark/>
          </w:tcPr>
          <w:p w14:paraId="6E964730" w14:textId="77777777" w:rsidR="00C72AE9" w:rsidRPr="00C72AE9" w:rsidRDefault="00C72AE9">
            <w:pPr>
              <w:rPr>
                <w:sz w:val="20"/>
                <w:szCs w:val="20"/>
              </w:rPr>
            </w:pPr>
          </w:p>
        </w:tc>
        <w:tc>
          <w:tcPr>
            <w:tcW w:w="1206" w:type="dxa"/>
            <w:tcBorders>
              <w:top w:val="nil"/>
              <w:left w:val="nil"/>
              <w:bottom w:val="nil"/>
              <w:right w:val="nil"/>
            </w:tcBorders>
            <w:noWrap/>
            <w:vAlign w:val="bottom"/>
            <w:hideMark/>
          </w:tcPr>
          <w:p w14:paraId="1635E6FD"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DCM4</w:t>
            </w:r>
          </w:p>
        </w:tc>
        <w:tc>
          <w:tcPr>
            <w:tcW w:w="1680" w:type="dxa"/>
            <w:tcBorders>
              <w:top w:val="nil"/>
              <w:left w:val="nil"/>
              <w:bottom w:val="nil"/>
              <w:right w:val="nil"/>
            </w:tcBorders>
            <w:noWrap/>
            <w:vAlign w:val="bottom"/>
            <w:hideMark/>
          </w:tcPr>
          <w:p w14:paraId="2CEB36A0"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0.957</w:t>
            </w:r>
          </w:p>
        </w:tc>
        <w:tc>
          <w:tcPr>
            <w:tcW w:w="1339" w:type="dxa"/>
            <w:tcBorders>
              <w:top w:val="nil"/>
              <w:left w:val="nil"/>
              <w:bottom w:val="nil"/>
              <w:right w:val="nil"/>
            </w:tcBorders>
            <w:noWrap/>
            <w:vAlign w:val="bottom"/>
            <w:hideMark/>
          </w:tcPr>
          <w:p w14:paraId="569B733D" w14:textId="77777777" w:rsidR="00C72AE9" w:rsidRPr="00C72AE9" w:rsidRDefault="00C72AE9"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24A0C035" w14:textId="77777777" w:rsidR="00C72AE9" w:rsidRPr="00C72AE9" w:rsidRDefault="00C72AE9" w:rsidP="00E13564">
            <w:pPr>
              <w:jc w:val="right"/>
              <w:rPr>
                <w:sz w:val="20"/>
                <w:szCs w:val="20"/>
              </w:rPr>
            </w:pPr>
          </w:p>
        </w:tc>
        <w:tc>
          <w:tcPr>
            <w:tcW w:w="850" w:type="dxa"/>
            <w:tcBorders>
              <w:top w:val="nil"/>
              <w:left w:val="nil"/>
              <w:bottom w:val="nil"/>
              <w:right w:val="nil"/>
            </w:tcBorders>
            <w:noWrap/>
            <w:vAlign w:val="bottom"/>
            <w:hideMark/>
          </w:tcPr>
          <w:p w14:paraId="45FA6AF3" w14:textId="77777777" w:rsidR="00C72AE9" w:rsidRPr="00C72AE9" w:rsidRDefault="00C72AE9" w:rsidP="00E13564">
            <w:pPr>
              <w:jc w:val="right"/>
              <w:rPr>
                <w:sz w:val="20"/>
                <w:szCs w:val="20"/>
              </w:rPr>
            </w:pPr>
          </w:p>
        </w:tc>
      </w:tr>
      <w:tr w:rsidR="00E13564" w:rsidRPr="00C72AE9" w14:paraId="45A36740" w14:textId="77777777" w:rsidTr="00B462C2">
        <w:trPr>
          <w:trHeight w:val="300"/>
        </w:trPr>
        <w:tc>
          <w:tcPr>
            <w:tcW w:w="3189" w:type="dxa"/>
            <w:tcBorders>
              <w:top w:val="nil"/>
              <w:left w:val="nil"/>
              <w:bottom w:val="nil"/>
              <w:right w:val="nil"/>
            </w:tcBorders>
            <w:noWrap/>
            <w:vAlign w:val="bottom"/>
            <w:hideMark/>
          </w:tcPr>
          <w:p w14:paraId="332507A0" w14:textId="77777777" w:rsidR="00C72AE9" w:rsidRPr="00C72AE9" w:rsidRDefault="00C72AE9">
            <w:pPr>
              <w:rPr>
                <w:rFonts w:ascii="Arial" w:hAnsi="Arial" w:cs="Arial"/>
                <w:b/>
                <w:bCs/>
                <w:color w:val="1F1F1F"/>
                <w:sz w:val="20"/>
                <w:szCs w:val="20"/>
              </w:rPr>
            </w:pPr>
            <w:r w:rsidRPr="00C72AE9">
              <w:rPr>
                <w:rFonts w:ascii="Arial" w:hAnsi="Arial" w:cs="Arial"/>
                <w:b/>
                <w:bCs/>
                <w:color w:val="1F1F1F"/>
                <w:sz w:val="20"/>
                <w:szCs w:val="20"/>
              </w:rPr>
              <w:t>Learning Motivation (LM)</w:t>
            </w:r>
          </w:p>
        </w:tc>
        <w:tc>
          <w:tcPr>
            <w:tcW w:w="1206" w:type="dxa"/>
            <w:tcBorders>
              <w:top w:val="nil"/>
              <w:left w:val="nil"/>
              <w:bottom w:val="nil"/>
              <w:right w:val="nil"/>
            </w:tcBorders>
            <w:noWrap/>
            <w:vAlign w:val="bottom"/>
            <w:hideMark/>
          </w:tcPr>
          <w:p w14:paraId="2EA24C15"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LM1</w:t>
            </w:r>
          </w:p>
        </w:tc>
        <w:tc>
          <w:tcPr>
            <w:tcW w:w="1680" w:type="dxa"/>
            <w:tcBorders>
              <w:top w:val="nil"/>
              <w:left w:val="nil"/>
              <w:bottom w:val="nil"/>
              <w:right w:val="nil"/>
            </w:tcBorders>
            <w:noWrap/>
            <w:vAlign w:val="bottom"/>
            <w:hideMark/>
          </w:tcPr>
          <w:p w14:paraId="234D9BFF"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0.855</w:t>
            </w:r>
          </w:p>
        </w:tc>
        <w:tc>
          <w:tcPr>
            <w:tcW w:w="1339" w:type="dxa"/>
            <w:tcBorders>
              <w:top w:val="nil"/>
              <w:left w:val="nil"/>
              <w:bottom w:val="nil"/>
              <w:right w:val="nil"/>
            </w:tcBorders>
            <w:noWrap/>
            <w:vAlign w:val="bottom"/>
            <w:hideMark/>
          </w:tcPr>
          <w:p w14:paraId="73663B5C" w14:textId="52A5F4B0" w:rsidR="00C72AE9" w:rsidRPr="00C72AE9" w:rsidRDefault="00C72AE9" w:rsidP="00E13564">
            <w:pPr>
              <w:jc w:val="right"/>
              <w:rPr>
                <w:rFonts w:ascii="Arial" w:hAnsi="Arial" w:cs="Arial"/>
                <w:i/>
                <w:iCs/>
                <w:color w:val="1F1F1F"/>
                <w:sz w:val="20"/>
                <w:szCs w:val="20"/>
              </w:rPr>
            </w:pPr>
            <w:r>
              <w:rPr>
                <w:rFonts w:ascii="Arial" w:hAnsi="Arial" w:cs="Arial"/>
                <w:i/>
                <w:iCs/>
                <w:color w:val="1F1F1F"/>
                <w:sz w:val="20"/>
                <w:szCs w:val="20"/>
              </w:rPr>
              <w:t>0.897</w:t>
            </w:r>
          </w:p>
        </w:tc>
        <w:tc>
          <w:tcPr>
            <w:tcW w:w="851" w:type="dxa"/>
            <w:tcBorders>
              <w:top w:val="nil"/>
              <w:left w:val="nil"/>
              <w:bottom w:val="nil"/>
              <w:right w:val="nil"/>
            </w:tcBorders>
            <w:noWrap/>
            <w:vAlign w:val="bottom"/>
            <w:hideMark/>
          </w:tcPr>
          <w:p w14:paraId="34001B54" w14:textId="50CA7ABC" w:rsidR="00C72AE9" w:rsidRPr="00C72AE9" w:rsidRDefault="009B3790" w:rsidP="00E13564">
            <w:pPr>
              <w:jc w:val="right"/>
              <w:rPr>
                <w:rFonts w:ascii="Arial" w:hAnsi="Arial" w:cs="Arial"/>
                <w:i/>
                <w:iCs/>
                <w:color w:val="1F1F1F"/>
                <w:sz w:val="20"/>
                <w:szCs w:val="20"/>
              </w:rPr>
            </w:pPr>
            <w:r>
              <w:rPr>
                <w:rFonts w:ascii="Arial" w:hAnsi="Arial" w:cs="Arial"/>
                <w:i/>
                <w:iCs/>
                <w:color w:val="1F1F1F"/>
                <w:sz w:val="20"/>
                <w:szCs w:val="20"/>
              </w:rPr>
              <w:t>0.898</w:t>
            </w:r>
          </w:p>
        </w:tc>
        <w:tc>
          <w:tcPr>
            <w:tcW w:w="850" w:type="dxa"/>
            <w:tcBorders>
              <w:top w:val="nil"/>
              <w:left w:val="nil"/>
              <w:bottom w:val="nil"/>
              <w:right w:val="nil"/>
            </w:tcBorders>
            <w:noWrap/>
            <w:vAlign w:val="bottom"/>
            <w:hideMark/>
          </w:tcPr>
          <w:p w14:paraId="0325365E" w14:textId="3073CA2E" w:rsidR="00C72AE9" w:rsidRPr="00C72AE9" w:rsidRDefault="009B3790" w:rsidP="00E13564">
            <w:pPr>
              <w:jc w:val="right"/>
              <w:rPr>
                <w:rFonts w:ascii="Arial" w:hAnsi="Arial" w:cs="Arial"/>
                <w:i/>
                <w:iCs/>
                <w:color w:val="1F1F1F"/>
                <w:sz w:val="20"/>
                <w:szCs w:val="20"/>
              </w:rPr>
            </w:pPr>
            <w:r>
              <w:rPr>
                <w:rFonts w:ascii="Arial" w:hAnsi="Arial" w:cs="Arial"/>
                <w:i/>
                <w:iCs/>
                <w:color w:val="1F1F1F"/>
                <w:sz w:val="20"/>
                <w:szCs w:val="20"/>
              </w:rPr>
              <w:t>0.831</w:t>
            </w:r>
          </w:p>
        </w:tc>
      </w:tr>
      <w:tr w:rsidR="00E13564" w:rsidRPr="00C72AE9" w14:paraId="48A5E944" w14:textId="77777777" w:rsidTr="00B462C2">
        <w:trPr>
          <w:trHeight w:val="300"/>
        </w:trPr>
        <w:tc>
          <w:tcPr>
            <w:tcW w:w="3189" w:type="dxa"/>
            <w:tcBorders>
              <w:top w:val="nil"/>
              <w:left w:val="nil"/>
              <w:bottom w:val="nil"/>
              <w:right w:val="nil"/>
            </w:tcBorders>
            <w:noWrap/>
            <w:vAlign w:val="bottom"/>
            <w:hideMark/>
          </w:tcPr>
          <w:p w14:paraId="28BCD773" w14:textId="77777777" w:rsidR="00C72AE9" w:rsidRPr="00C72AE9" w:rsidRDefault="00C72AE9">
            <w:pPr>
              <w:rPr>
                <w:rFonts w:ascii="Arial" w:hAnsi="Arial" w:cs="Arial"/>
                <w:i/>
                <w:iCs/>
                <w:color w:val="1F1F1F"/>
                <w:sz w:val="20"/>
                <w:szCs w:val="20"/>
              </w:rPr>
            </w:pPr>
          </w:p>
        </w:tc>
        <w:tc>
          <w:tcPr>
            <w:tcW w:w="1206" w:type="dxa"/>
            <w:tcBorders>
              <w:top w:val="nil"/>
              <w:left w:val="nil"/>
              <w:bottom w:val="nil"/>
              <w:right w:val="nil"/>
            </w:tcBorders>
            <w:noWrap/>
            <w:vAlign w:val="bottom"/>
            <w:hideMark/>
          </w:tcPr>
          <w:p w14:paraId="6FA20F0C"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LM3</w:t>
            </w:r>
          </w:p>
        </w:tc>
        <w:tc>
          <w:tcPr>
            <w:tcW w:w="1680" w:type="dxa"/>
            <w:tcBorders>
              <w:top w:val="nil"/>
              <w:left w:val="nil"/>
              <w:bottom w:val="nil"/>
              <w:right w:val="nil"/>
            </w:tcBorders>
            <w:noWrap/>
            <w:vAlign w:val="bottom"/>
            <w:hideMark/>
          </w:tcPr>
          <w:p w14:paraId="37282902"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0.931</w:t>
            </w:r>
          </w:p>
        </w:tc>
        <w:tc>
          <w:tcPr>
            <w:tcW w:w="1339" w:type="dxa"/>
            <w:tcBorders>
              <w:top w:val="nil"/>
              <w:left w:val="nil"/>
              <w:bottom w:val="nil"/>
              <w:right w:val="nil"/>
            </w:tcBorders>
            <w:noWrap/>
            <w:vAlign w:val="bottom"/>
            <w:hideMark/>
          </w:tcPr>
          <w:p w14:paraId="1ABA0FEA" w14:textId="77777777" w:rsidR="00C72AE9" w:rsidRPr="00C72AE9" w:rsidRDefault="00C72AE9"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6F0143D8" w14:textId="77777777" w:rsidR="00C72AE9" w:rsidRPr="00C72AE9" w:rsidRDefault="00C72AE9" w:rsidP="00E13564">
            <w:pPr>
              <w:jc w:val="right"/>
              <w:rPr>
                <w:sz w:val="20"/>
                <w:szCs w:val="20"/>
              </w:rPr>
            </w:pPr>
          </w:p>
        </w:tc>
        <w:tc>
          <w:tcPr>
            <w:tcW w:w="850" w:type="dxa"/>
            <w:tcBorders>
              <w:top w:val="nil"/>
              <w:left w:val="nil"/>
              <w:bottom w:val="nil"/>
              <w:right w:val="nil"/>
            </w:tcBorders>
            <w:noWrap/>
            <w:vAlign w:val="bottom"/>
            <w:hideMark/>
          </w:tcPr>
          <w:p w14:paraId="1E94AC62" w14:textId="77777777" w:rsidR="00C72AE9" w:rsidRPr="00C72AE9" w:rsidRDefault="00C72AE9" w:rsidP="00E13564">
            <w:pPr>
              <w:jc w:val="right"/>
              <w:rPr>
                <w:sz w:val="20"/>
                <w:szCs w:val="20"/>
              </w:rPr>
            </w:pPr>
          </w:p>
        </w:tc>
      </w:tr>
      <w:tr w:rsidR="00E13564" w:rsidRPr="00C72AE9" w14:paraId="1DB68397" w14:textId="77777777" w:rsidTr="00B462C2">
        <w:trPr>
          <w:trHeight w:val="300"/>
        </w:trPr>
        <w:tc>
          <w:tcPr>
            <w:tcW w:w="3189" w:type="dxa"/>
            <w:tcBorders>
              <w:top w:val="nil"/>
              <w:left w:val="nil"/>
              <w:bottom w:val="nil"/>
              <w:right w:val="nil"/>
            </w:tcBorders>
            <w:noWrap/>
            <w:vAlign w:val="bottom"/>
            <w:hideMark/>
          </w:tcPr>
          <w:p w14:paraId="1FF2C25A" w14:textId="77777777" w:rsidR="00C72AE9" w:rsidRPr="00C72AE9" w:rsidRDefault="00C72AE9">
            <w:pPr>
              <w:rPr>
                <w:sz w:val="20"/>
                <w:szCs w:val="20"/>
              </w:rPr>
            </w:pPr>
          </w:p>
        </w:tc>
        <w:tc>
          <w:tcPr>
            <w:tcW w:w="1206" w:type="dxa"/>
            <w:tcBorders>
              <w:top w:val="nil"/>
              <w:left w:val="nil"/>
              <w:bottom w:val="nil"/>
              <w:right w:val="nil"/>
            </w:tcBorders>
            <w:noWrap/>
            <w:vAlign w:val="bottom"/>
            <w:hideMark/>
          </w:tcPr>
          <w:p w14:paraId="3F16B8B5"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LM4</w:t>
            </w:r>
          </w:p>
        </w:tc>
        <w:tc>
          <w:tcPr>
            <w:tcW w:w="1680" w:type="dxa"/>
            <w:tcBorders>
              <w:top w:val="nil"/>
              <w:left w:val="nil"/>
              <w:bottom w:val="nil"/>
              <w:right w:val="nil"/>
            </w:tcBorders>
            <w:noWrap/>
            <w:vAlign w:val="bottom"/>
            <w:hideMark/>
          </w:tcPr>
          <w:p w14:paraId="65B8D291"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0.945</w:t>
            </w:r>
          </w:p>
        </w:tc>
        <w:tc>
          <w:tcPr>
            <w:tcW w:w="1339" w:type="dxa"/>
            <w:tcBorders>
              <w:top w:val="nil"/>
              <w:left w:val="nil"/>
              <w:bottom w:val="nil"/>
              <w:right w:val="nil"/>
            </w:tcBorders>
            <w:noWrap/>
            <w:vAlign w:val="bottom"/>
            <w:hideMark/>
          </w:tcPr>
          <w:p w14:paraId="7E72E435" w14:textId="77777777" w:rsidR="00C72AE9" w:rsidRPr="00C72AE9" w:rsidRDefault="00C72AE9"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18A9B5CD" w14:textId="77777777" w:rsidR="00C72AE9" w:rsidRPr="00C72AE9" w:rsidRDefault="00C72AE9" w:rsidP="00E13564">
            <w:pPr>
              <w:jc w:val="right"/>
              <w:rPr>
                <w:sz w:val="20"/>
                <w:szCs w:val="20"/>
              </w:rPr>
            </w:pPr>
          </w:p>
        </w:tc>
        <w:tc>
          <w:tcPr>
            <w:tcW w:w="850" w:type="dxa"/>
            <w:tcBorders>
              <w:top w:val="nil"/>
              <w:left w:val="nil"/>
              <w:bottom w:val="nil"/>
              <w:right w:val="nil"/>
            </w:tcBorders>
            <w:noWrap/>
            <w:vAlign w:val="bottom"/>
            <w:hideMark/>
          </w:tcPr>
          <w:p w14:paraId="41B02634" w14:textId="77777777" w:rsidR="00C72AE9" w:rsidRPr="00C72AE9" w:rsidRDefault="00C72AE9" w:rsidP="00E13564">
            <w:pPr>
              <w:jc w:val="right"/>
              <w:rPr>
                <w:sz w:val="20"/>
                <w:szCs w:val="20"/>
              </w:rPr>
            </w:pPr>
          </w:p>
        </w:tc>
      </w:tr>
      <w:tr w:rsidR="00E13564" w:rsidRPr="00C72AE9" w14:paraId="60964771" w14:textId="77777777" w:rsidTr="00B462C2">
        <w:trPr>
          <w:trHeight w:val="300"/>
        </w:trPr>
        <w:tc>
          <w:tcPr>
            <w:tcW w:w="3189" w:type="dxa"/>
            <w:tcBorders>
              <w:top w:val="nil"/>
              <w:left w:val="nil"/>
              <w:bottom w:val="nil"/>
              <w:right w:val="nil"/>
            </w:tcBorders>
            <w:noWrap/>
            <w:vAlign w:val="bottom"/>
            <w:hideMark/>
          </w:tcPr>
          <w:p w14:paraId="7DE30481" w14:textId="77777777" w:rsidR="00C72AE9" w:rsidRPr="00C72AE9" w:rsidRDefault="00C72AE9">
            <w:pPr>
              <w:rPr>
                <w:rFonts w:ascii="Arial" w:hAnsi="Arial" w:cs="Arial"/>
                <w:b/>
                <w:bCs/>
                <w:color w:val="1F1F1F"/>
                <w:sz w:val="20"/>
                <w:szCs w:val="20"/>
              </w:rPr>
            </w:pPr>
            <w:r w:rsidRPr="00C72AE9">
              <w:rPr>
                <w:rFonts w:ascii="Arial" w:hAnsi="Arial" w:cs="Arial"/>
                <w:b/>
                <w:bCs/>
                <w:color w:val="1F1F1F"/>
                <w:sz w:val="20"/>
                <w:szCs w:val="20"/>
              </w:rPr>
              <w:t>Learning Strategies (LS)</w:t>
            </w:r>
          </w:p>
        </w:tc>
        <w:tc>
          <w:tcPr>
            <w:tcW w:w="1206" w:type="dxa"/>
            <w:tcBorders>
              <w:top w:val="nil"/>
              <w:left w:val="nil"/>
              <w:bottom w:val="nil"/>
              <w:right w:val="nil"/>
            </w:tcBorders>
            <w:noWrap/>
            <w:vAlign w:val="bottom"/>
            <w:hideMark/>
          </w:tcPr>
          <w:p w14:paraId="0930C21A"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LS1</w:t>
            </w:r>
          </w:p>
        </w:tc>
        <w:tc>
          <w:tcPr>
            <w:tcW w:w="1680" w:type="dxa"/>
            <w:tcBorders>
              <w:top w:val="nil"/>
              <w:left w:val="nil"/>
              <w:bottom w:val="nil"/>
              <w:right w:val="nil"/>
            </w:tcBorders>
            <w:noWrap/>
            <w:vAlign w:val="bottom"/>
            <w:hideMark/>
          </w:tcPr>
          <w:p w14:paraId="2E930EE0"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0.794</w:t>
            </w:r>
          </w:p>
        </w:tc>
        <w:tc>
          <w:tcPr>
            <w:tcW w:w="1339" w:type="dxa"/>
            <w:tcBorders>
              <w:top w:val="nil"/>
              <w:left w:val="nil"/>
              <w:bottom w:val="nil"/>
              <w:right w:val="nil"/>
            </w:tcBorders>
            <w:noWrap/>
            <w:vAlign w:val="bottom"/>
            <w:hideMark/>
          </w:tcPr>
          <w:p w14:paraId="5AAE8063" w14:textId="1E300D13" w:rsidR="00C72AE9" w:rsidRPr="00C72AE9" w:rsidRDefault="00C72AE9" w:rsidP="00E13564">
            <w:pPr>
              <w:jc w:val="right"/>
              <w:rPr>
                <w:rFonts w:ascii="Arial" w:hAnsi="Arial" w:cs="Arial"/>
                <w:i/>
                <w:iCs/>
                <w:color w:val="1F1F1F"/>
                <w:sz w:val="20"/>
                <w:szCs w:val="20"/>
              </w:rPr>
            </w:pPr>
            <w:r>
              <w:rPr>
                <w:rFonts w:ascii="Arial" w:hAnsi="Arial" w:cs="Arial"/>
                <w:i/>
                <w:iCs/>
                <w:color w:val="1F1F1F"/>
                <w:sz w:val="20"/>
                <w:szCs w:val="20"/>
              </w:rPr>
              <w:t>0.882</w:t>
            </w:r>
          </w:p>
        </w:tc>
        <w:tc>
          <w:tcPr>
            <w:tcW w:w="851" w:type="dxa"/>
            <w:tcBorders>
              <w:top w:val="nil"/>
              <w:left w:val="nil"/>
              <w:bottom w:val="nil"/>
              <w:right w:val="nil"/>
            </w:tcBorders>
            <w:noWrap/>
            <w:vAlign w:val="bottom"/>
            <w:hideMark/>
          </w:tcPr>
          <w:p w14:paraId="73804E12" w14:textId="4ED31B36" w:rsidR="00C72AE9" w:rsidRPr="00C72AE9" w:rsidRDefault="009B3790" w:rsidP="00E13564">
            <w:pPr>
              <w:jc w:val="right"/>
              <w:rPr>
                <w:rFonts w:ascii="Arial" w:hAnsi="Arial" w:cs="Arial"/>
                <w:i/>
                <w:iCs/>
                <w:color w:val="1F1F1F"/>
                <w:sz w:val="20"/>
                <w:szCs w:val="20"/>
              </w:rPr>
            </w:pPr>
            <w:r>
              <w:rPr>
                <w:rFonts w:ascii="Arial" w:hAnsi="Arial" w:cs="Arial"/>
                <w:i/>
                <w:iCs/>
                <w:color w:val="1F1F1F"/>
                <w:sz w:val="20"/>
                <w:szCs w:val="20"/>
              </w:rPr>
              <w:t>0.916</w:t>
            </w:r>
          </w:p>
        </w:tc>
        <w:tc>
          <w:tcPr>
            <w:tcW w:w="850" w:type="dxa"/>
            <w:tcBorders>
              <w:top w:val="nil"/>
              <w:left w:val="nil"/>
              <w:bottom w:val="nil"/>
              <w:right w:val="nil"/>
            </w:tcBorders>
            <w:noWrap/>
            <w:vAlign w:val="bottom"/>
            <w:hideMark/>
          </w:tcPr>
          <w:p w14:paraId="1C400F43" w14:textId="72DF43AF" w:rsidR="00C72AE9" w:rsidRPr="00C72AE9" w:rsidRDefault="009B3790" w:rsidP="00E13564">
            <w:pPr>
              <w:jc w:val="right"/>
              <w:rPr>
                <w:rFonts w:ascii="Arial" w:hAnsi="Arial" w:cs="Arial"/>
                <w:i/>
                <w:iCs/>
                <w:color w:val="1F1F1F"/>
                <w:sz w:val="20"/>
                <w:szCs w:val="20"/>
              </w:rPr>
            </w:pPr>
            <w:r>
              <w:rPr>
                <w:rFonts w:ascii="Arial" w:hAnsi="Arial" w:cs="Arial"/>
                <w:i/>
                <w:iCs/>
                <w:color w:val="1F1F1F"/>
                <w:sz w:val="20"/>
                <w:szCs w:val="20"/>
              </w:rPr>
              <w:t>0.733</w:t>
            </w:r>
          </w:p>
        </w:tc>
      </w:tr>
      <w:tr w:rsidR="00E13564" w:rsidRPr="00C72AE9" w14:paraId="74D33D26" w14:textId="77777777" w:rsidTr="00B462C2">
        <w:trPr>
          <w:trHeight w:val="300"/>
        </w:trPr>
        <w:tc>
          <w:tcPr>
            <w:tcW w:w="3189" w:type="dxa"/>
            <w:tcBorders>
              <w:top w:val="nil"/>
              <w:left w:val="nil"/>
              <w:bottom w:val="nil"/>
              <w:right w:val="nil"/>
            </w:tcBorders>
            <w:noWrap/>
            <w:vAlign w:val="bottom"/>
            <w:hideMark/>
          </w:tcPr>
          <w:p w14:paraId="003FAC8C" w14:textId="77777777" w:rsidR="00C72AE9" w:rsidRPr="00C72AE9" w:rsidRDefault="00C72AE9">
            <w:pPr>
              <w:rPr>
                <w:rFonts w:ascii="Arial" w:hAnsi="Arial" w:cs="Arial"/>
                <w:i/>
                <w:iCs/>
                <w:color w:val="1F1F1F"/>
                <w:sz w:val="20"/>
                <w:szCs w:val="20"/>
              </w:rPr>
            </w:pPr>
          </w:p>
        </w:tc>
        <w:tc>
          <w:tcPr>
            <w:tcW w:w="1206" w:type="dxa"/>
            <w:tcBorders>
              <w:top w:val="nil"/>
              <w:left w:val="nil"/>
              <w:bottom w:val="nil"/>
              <w:right w:val="nil"/>
            </w:tcBorders>
            <w:noWrap/>
            <w:vAlign w:val="bottom"/>
            <w:hideMark/>
          </w:tcPr>
          <w:p w14:paraId="25CB18F4"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LS2</w:t>
            </w:r>
          </w:p>
        </w:tc>
        <w:tc>
          <w:tcPr>
            <w:tcW w:w="1680" w:type="dxa"/>
            <w:tcBorders>
              <w:top w:val="nil"/>
              <w:left w:val="nil"/>
              <w:bottom w:val="nil"/>
              <w:right w:val="nil"/>
            </w:tcBorders>
            <w:noWrap/>
            <w:vAlign w:val="bottom"/>
            <w:hideMark/>
          </w:tcPr>
          <w:p w14:paraId="7B8914EA"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0.909</w:t>
            </w:r>
          </w:p>
        </w:tc>
        <w:tc>
          <w:tcPr>
            <w:tcW w:w="1339" w:type="dxa"/>
            <w:tcBorders>
              <w:top w:val="nil"/>
              <w:left w:val="nil"/>
              <w:bottom w:val="nil"/>
              <w:right w:val="nil"/>
            </w:tcBorders>
            <w:noWrap/>
            <w:vAlign w:val="bottom"/>
            <w:hideMark/>
          </w:tcPr>
          <w:p w14:paraId="54F46026" w14:textId="77777777" w:rsidR="00C72AE9" w:rsidRPr="00C72AE9" w:rsidRDefault="00C72AE9" w:rsidP="00E13564">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3E19777C" w14:textId="77777777" w:rsidR="00C72AE9" w:rsidRPr="00C72AE9" w:rsidRDefault="00C72AE9" w:rsidP="00E13564">
            <w:pPr>
              <w:jc w:val="right"/>
              <w:rPr>
                <w:sz w:val="20"/>
                <w:szCs w:val="20"/>
              </w:rPr>
            </w:pPr>
          </w:p>
        </w:tc>
        <w:tc>
          <w:tcPr>
            <w:tcW w:w="850" w:type="dxa"/>
            <w:tcBorders>
              <w:top w:val="nil"/>
              <w:left w:val="nil"/>
              <w:bottom w:val="nil"/>
              <w:right w:val="nil"/>
            </w:tcBorders>
            <w:noWrap/>
            <w:vAlign w:val="bottom"/>
            <w:hideMark/>
          </w:tcPr>
          <w:p w14:paraId="7209962D" w14:textId="77777777" w:rsidR="00C72AE9" w:rsidRPr="00C72AE9" w:rsidRDefault="00C72AE9" w:rsidP="00E13564">
            <w:pPr>
              <w:jc w:val="right"/>
              <w:rPr>
                <w:sz w:val="20"/>
                <w:szCs w:val="20"/>
              </w:rPr>
            </w:pPr>
          </w:p>
        </w:tc>
      </w:tr>
      <w:tr w:rsidR="00E13564" w:rsidRPr="00C72AE9" w14:paraId="166C126C" w14:textId="77777777" w:rsidTr="00B462C2">
        <w:trPr>
          <w:trHeight w:val="300"/>
        </w:trPr>
        <w:tc>
          <w:tcPr>
            <w:tcW w:w="3189" w:type="dxa"/>
            <w:tcBorders>
              <w:top w:val="nil"/>
              <w:left w:val="nil"/>
              <w:bottom w:val="nil"/>
              <w:right w:val="nil"/>
            </w:tcBorders>
            <w:noWrap/>
            <w:vAlign w:val="bottom"/>
            <w:hideMark/>
          </w:tcPr>
          <w:p w14:paraId="66DDBDEF" w14:textId="77777777" w:rsidR="00C72AE9" w:rsidRPr="00C72AE9" w:rsidRDefault="00C72AE9">
            <w:pPr>
              <w:rPr>
                <w:sz w:val="20"/>
                <w:szCs w:val="20"/>
              </w:rPr>
            </w:pPr>
          </w:p>
        </w:tc>
        <w:tc>
          <w:tcPr>
            <w:tcW w:w="1206" w:type="dxa"/>
            <w:tcBorders>
              <w:top w:val="nil"/>
              <w:left w:val="nil"/>
              <w:bottom w:val="nil"/>
              <w:right w:val="nil"/>
            </w:tcBorders>
            <w:noWrap/>
            <w:vAlign w:val="bottom"/>
            <w:hideMark/>
          </w:tcPr>
          <w:p w14:paraId="63CC5FA6"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LS3</w:t>
            </w:r>
          </w:p>
        </w:tc>
        <w:tc>
          <w:tcPr>
            <w:tcW w:w="1680" w:type="dxa"/>
            <w:tcBorders>
              <w:top w:val="nil"/>
              <w:left w:val="nil"/>
              <w:bottom w:val="nil"/>
              <w:right w:val="nil"/>
            </w:tcBorders>
            <w:noWrap/>
            <w:vAlign w:val="bottom"/>
            <w:hideMark/>
          </w:tcPr>
          <w:p w14:paraId="327E5DBD"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0.868</w:t>
            </w:r>
          </w:p>
        </w:tc>
        <w:tc>
          <w:tcPr>
            <w:tcW w:w="1339" w:type="dxa"/>
            <w:tcBorders>
              <w:top w:val="nil"/>
              <w:left w:val="nil"/>
              <w:bottom w:val="nil"/>
              <w:right w:val="nil"/>
            </w:tcBorders>
            <w:noWrap/>
            <w:vAlign w:val="bottom"/>
            <w:hideMark/>
          </w:tcPr>
          <w:p w14:paraId="34DEEDDC" w14:textId="77777777" w:rsidR="00C72AE9" w:rsidRPr="00C72AE9" w:rsidRDefault="00C72AE9">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6757CE5C" w14:textId="77777777" w:rsidR="00C72AE9" w:rsidRPr="00C72AE9" w:rsidRDefault="00C72AE9">
            <w:pPr>
              <w:rPr>
                <w:sz w:val="20"/>
                <w:szCs w:val="20"/>
              </w:rPr>
            </w:pPr>
          </w:p>
        </w:tc>
        <w:tc>
          <w:tcPr>
            <w:tcW w:w="850" w:type="dxa"/>
            <w:tcBorders>
              <w:top w:val="nil"/>
              <w:left w:val="nil"/>
              <w:bottom w:val="nil"/>
              <w:right w:val="nil"/>
            </w:tcBorders>
            <w:noWrap/>
            <w:vAlign w:val="bottom"/>
            <w:hideMark/>
          </w:tcPr>
          <w:p w14:paraId="2E949D87" w14:textId="77777777" w:rsidR="00C72AE9" w:rsidRPr="00C72AE9" w:rsidRDefault="00C72AE9">
            <w:pPr>
              <w:rPr>
                <w:sz w:val="20"/>
                <w:szCs w:val="20"/>
              </w:rPr>
            </w:pPr>
          </w:p>
        </w:tc>
      </w:tr>
      <w:tr w:rsidR="00E13564" w:rsidRPr="00C72AE9" w14:paraId="54A905B6" w14:textId="77777777" w:rsidTr="00B462C2">
        <w:trPr>
          <w:trHeight w:val="300"/>
        </w:trPr>
        <w:tc>
          <w:tcPr>
            <w:tcW w:w="3189" w:type="dxa"/>
            <w:tcBorders>
              <w:top w:val="nil"/>
              <w:left w:val="nil"/>
              <w:bottom w:val="nil"/>
              <w:right w:val="nil"/>
            </w:tcBorders>
            <w:noWrap/>
            <w:vAlign w:val="bottom"/>
            <w:hideMark/>
          </w:tcPr>
          <w:p w14:paraId="4B0B6C8F" w14:textId="77777777" w:rsidR="00C72AE9" w:rsidRPr="00C72AE9" w:rsidRDefault="00C72AE9">
            <w:pPr>
              <w:rPr>
                <w:sz w:val="20"/>
                <w:szCs w:val="20"/>
              </w:rPr>
            </w:pPr>
          </w:p>
        </w:tc>
        <w:tc>
          <w:tcPr>
            <w:tcW w:w="1206" w:type="dxa"/>
            <w:tcBorders>
              <w:top w:val="nil"/>
              <w:left w:val="nil"/>
              <w:bottom w:val="nil"/>
              <w:right w:val="nil"/>
            </w:tcBorders>
            <w:noWrap/>
            <w:vAlign w:val="bottom"/>
            <w:hideMark/>
          </w:tcPr>
          <w:p w14:paraId="1050940D" w14:textId="77777777" w:rsidR="00C72AE9" w:rsidRPr="00C72AE9" w:rsidRDefault="00C72AE9">
            <w:pPr>
              <w:rPr>
                <w:rFonts w:ascii="Arial" w:hAnsi="Arial" w:cs="Arial"/>
                <w:color w:val="1F1F1F"/>
                <w:sz w:val="20"/>
                <w:szCs w:val="20"/>
              </w:rPr>
            </w:pPr>
            <w:r w:rsidRPr="00C72AE9">
              <w:rPr>
                <w:rFonts w:ascii="Arial" w:hAnsi="Arial" w:cs="Arial"/>
                <w:color w:val="1F1F1F"/>
                <w:sz w:val="20"/>
                <w:szCs w:val="20"/>
              </w:rPr>
              <w:t>LS4</w:t>
            </w:r>
          </w:p>
        </w:tc>
        <w:tc>
          <w:tcPr>
            <w:tcW w:w="1680" w:type="dxa"/>
            <w:tcBorders>
              <w:top w:val="nil"/>
              <w:left w:val="nil"/>
              <w:bottom w:val="nil"/>
              <w:right w:val="nil"/>
            </w:tcBorders>
            <w:noWrap/>
            <w:vAlign w:val="bottom"/>
            <w:hideMark/>
          </w:tcPr>
          <w:p w14:paraId="7E4C71FD" w14:textId="77777777" w:rsidR="00C72AE9" w:rsidRPr="00C72AE9" w:rsidRDefault="00C72AE9">
            <w:pPr>
              <w:jc w:val="right"/>
              <w:rPr>
                <w:rFonts w:ascii="Arial" w:hAnsi="Arial" w:cs="Arial"/>
                <w:color w:val="1F1F1F"/>
                <w:sz w:val="20"/>
                <w:szCs w:val="20"/>
              </w:rPr>
            </w:pPr>
            <w:r w:rsidRPr="00C72AE9">
              <w:rPr>
                <w:rFonts w:ascii="Arial" w:hAnsi="Arial" w:cs="Arial"/>
                <w:color w:val="1F1F1F"/>
                <w:sz w:val="20"/>
                <w:szCs w:val="20"/>
              </w:rPr>
              <w:t>0.849</w:t>
            </w:r>
          </w:p>
        </w:tc>
        <w:tc>
          <w:tcPr>
            <w:tcW w:w="1339" w:type="dxa"/>
            <w:tcBorders>
              <w:top w:val="nil"/>
              <w:left w:val="nil"/>
              <w:bottom w:val="nil"/>
              <w:right w:val="nil"/>
            </w:tcBorders>
            <w:noWrap/>
            <w:vAlign w:val="bottom"/>
            <w:hideMark/>
          </w:tcPr>
          <w:p w14:paraId="55BDEAC0" w14:textId="77777777" w:rsidR="00C72AE9" w:rsidRPr="00C72AE9" w:rsidRDefault="00C72AE9">
            <w:pPr>
              <w:jc w:val="right"/>
              <w:rPr>
                <w:rFonts w:ascii="Arial" w:hAnsi="Arial" w:cs="Arial"/>
                <w:color w:val="1F1F1F"/>
                <w:sz w:val="20"/>
                <w:szCs w:val="20"/>
              </w:rPr>
            </w:pPr>
          </w:p>
        </w:tc>
        <w:tc>
          <w:tcPr>
            <w:tcW w:w="851" w:type="dxa"/>
            <w:tcBorders>
              <w:top w:val="nil"/>
              <w:left w:val="nil"/>
              <w:bottom w:val="nil"/>
              <w:right w:val="nil"/>
            </w:tcBorders>
            <w:noWrap/>
            <w:vAlign w:val="bottom"/>
            <w:hideMark/>
          </w:tcPr>
          <w:p w14:paraId="71E39A8B" w14:textId="77777777" w:rsidR="00C72AE9" w:rsidRPr="00C72AE9" w:rsidRDefault="00C72AE9">
            <w:pPr>
              <w:rPr>
                <w:sz w:val="20"/>
                <w:szCs w:val="20"/>
              </w:rPr>
            </w:pPr>
          </w:p>
        </w:tc>
        <w:tc>
          <w:tcPr>
            <w:tcW w:w="850" w:type="dxa"/>
            <w:tcBorders>
              <w:top w:val="nil"/>
              <w:left w:val="nil"/>
              <w:bottom w:val="nil"/>
              <w:right w:val="nil"/>
            </w:tcBorders>
            <w:noWrap/>
            <w:vAlign w:val="bottom"/>
            <w:hideMark/>
          </w:tcPr>
          <w:p w14:paraId="43ACBBAF" w14:textId="77777777" w:rsidR="00C72AE9" w:rsidRPr="00C72AE9" w:rsidRDefault="00C72AE9">
            <w:pPr>
              <w:rPr>
                <w:sz w:val="20"/>
                <w:szCs w:val="20"/>
              </w:rPr>
            </w:pPr>
          </w:p>
        </w:tc>
      </w:tr>
    </w:tbl>
    <w:p w14:paraId="7805407B" w14:textId="77777777" w:rsidR="00C72AE9" w:rsidRPr="00E82C4B" w:rsidRDefault="00C72AE9" w:rsidP="00E82C4B"/>
    <w:p w14:paraId="1D053962" w14:textId="02F79577" w:rsidR="00F24C7F" w:rsidRDefault="00F24C7F" w:rsidP="00200C54"/>
    <w:p w14:paraId="4CB7C9FF" w14:textId="4456A999" w:rsidR="007552A6" w:rsidRDefault="007552A6" w:rsidP="007552A6">
      <w:pPr>
        <w:pStyle w:val="NormalWeb"/>
      </w:pPr>
      <w:r>
        <w:t xml:space="preserve">As presented </w:t>
      </w:r>
      <w:r w:rsidRPr="00B76009">
        <w:t xml:space="preserve">in Table </w:t>
      </w:r>
      <w:r w:rsidR="00E3255D">
        <w:t>4</w:t>
      </w:r>
      <w:r>
        <w:t>, the indicator reliability was established, with all remaining outer loadings exceeding the recommended threshold of 0.708. Furthermore, the internal consistency of the constructs was confirmed, as both Cronbach's Alpha and Composite Reliability (CR) values for all variables surpassed the 0.70 minimum requirement. To assess convergent validity, the Average Variance Extracted (AVE) was examined. The AVE values for all constructs were well above 0.50, demonstrating that the constructs explain more than half of the variance of their respective indicators.</w:t>
      </w:r>
    </w:p>
    <w:p w14:paraId="41CD21EA" w14:textId="004815FC" w:rsidR="007552A6" w:rsidRDefault="007552A6" w:rsidP="007552A6">
      <w:pPr>
        <w:pStyle w:val="NormalWeb"/>
      </w:pPr>
      <w:r>
        <w:t xml:space="preserve">Discriminant validity was strictly evaluated using the Heterotrait-Monotrait Ratio (HTMT) criterion, which is considered superior to traditional metrics. As shown in </w:t>
      </w:r>
      <w:r w:rsidRPr="00E3255D">
        <w:t xml:space="preserve">Table </w:t>
      </w:r>
      <w:r w:rsidR="00E3255D">
        <w:t>5</w:t>
      </w:r>
      <w:r>
        <w:t>, the majority of the HTMT values fall below the conservative threshold of 0.85.</w:t>
      </w:r>
    </w:p>
    <w:p w14:paraId="5294128C" w14:textId="6231A122" w:rsidR="00E3255D" w:rsidRDefault="00E07CFE" w:rsidP="007552A6">
      <w:pPr>
        <w:pStyle w:val="NormalWeb"/>
      </w:pPr>
      <w:r w:rsidRPr="00E07CFE">
        <w:t xml:space="preserve">It is important to note a specific value in Table </w:t>
      </w:r>
      <w:r>
        <w:t>5</w:t>
      </w:r>
      <w:r w:rsidRPr="00E07CFE">
        <w:t xml:space="preserve"> regarding the relationship between Digital Comics Media (DCM) and Computer Comprehension (CC), which yielded an HTMT value of 0.904. While this slightly exceeds the strict 0.85 threshold, </w:t>
      </w:r>
      <w:r>
        <w:fldChar w:fldCharType="begin"/>
      </w:r>
      <w:r>
        <w:instrText xml:space="preserve"> ADDIN ZOTERO_ITEM CSL_CITATION {"citationID":"Z9EFPB7t","properties":{"unsorted":false,"formattedCitation":"(Henseler et al., 2015)","plainCitation":"(Henseler et al., 2015)","noteIndex":0},"citationItems":[{"id":363,"uris":["http://zotero.org/users/local/zqnAJ6Wa/items/5ICPHPBB"],"itemData":{"id":363,"type":"article-journal","container-title":"Journal of the academy of marketing science","issue":"1","note":"ISBN: 0092-0703","page":"115-135","publisher":"Springer","title":"A new criterion for assessing discriminant validity in variance-based structural equation modeling","volume":"43","author":[{"family":"Henseler","given":"Jörg"},{"family":"Ringle","given":"Christian M."},{"family":"Sarstedt","given":"Marko"}],"issued":{"date-parts":[["2015"]]}}}],"schema":"https://github.com/citation-style-language/schema/raw/master/csl-citation.json"} </w:instrText>
      </w:r>
      <w:r>
        <w:fldChar w:fldCharType="separate"/>
      </w:r>
      <w:r>
        <w:rPr>
          <w:noProof/>
        </w:rPr>
        <w:t>Henseler et al. (2015)</w:t>
      </w:r>
      <w:r>
        <w:fldChar w:fldCharType="end"/>
      </w:r>
      <w:r>
        <w:t xml:space="preserve"> </w:t>
      </w:r>
      <w:r w:rsidRPr="00E07CFE">
        <w:t>suggest that an HTMT value up to 0.90 is statistically acceptable for constructs that are conceptually highly interrelated. In the context of interactive educational media, the respondents' perception of the visual media quality (DCM) and their perceived mastery of the material delivered through that specific media (CC) inherently share conceptual overlaps. Therefore, discriminant validity is considered established for the overall model.</w:t>
      </w:r>
    </w:p>
    <w:p w14:paraId="7DBB0EA9" w14:textId="77777777" w:rsidR="00FA2662" w:rsidRDefault="00FA2662" w:rsidP="00FA2662">
      <w:pPr>
        <w:pStyle w:val="NormalWeb"/>
      </w:pPr>
      <w:r w:rsidRPr="00E3255D">
        <w:t xml:space="preserve">Table </w:t>
      </w:r>
      <w:r>
        <w:t>5</w:t>
      </w:r>
      <w:r w:rsidRPr="00E3255D">
        <w:t>. Discriminant Validity (HTMT Ratio)</w:t>
      </w:r>
    </w:p>
    <w:tbl>
      <w:tblPr>
        <w:tblW w:w="0" w:type="auto"/>
        <w:tblLook w:val="04A0" w:firstRow="1" w:lastRow="0" w:firstColumn="1" w:lastColumn="0" w:noHBand="0" w:noVBand="1"/>
      </w:tblPr>
      <w:tblGrid>
        <w:gridCol w:w="3138"/>
        <w:gridCol w:w="767"/>
        <w:gridCol w:w="767"/>
        <w:gridCol w:w="645"/>
        <w:gridCol w:w="498"/>
      </w:tblGrid>
      <w:tr w:rsidR="00FA2662" w14:paraId="4B6A1EFC" w14:textId="77777777" w:rsidTr="0030164D">
        <w:trPr>
          <w:trHeight w:val="300"/>
        </w:trPr>
        <w:tc>
          <w:tcPr>
            <w:tcW w:w="0" w:type="auto"/>
            <w:tcBorders>
              <w:top w:val="nil"/>
              <w:left w:val="nil"/>
              <w:bottom w:val="nil"/>
              <w:right w:val="nil"/>
            </w:tcBorders>
            <w:noWrap/>
            <w:vAlign w:val="bottom"/>
            <w:hideMark/>
          </w:tcPr>
          <w:p w14:paraId="0C2E74D7" w14:textId="77777777" w:rsidR="00FA2662" w:rsidRDefault="00FA2662" w:rsidP="0030164D"/>
        </w:tc>
        <w:tc>
          <w:tcPr>
            <w:tcW w:w="0" w:type="auto"/>
            <w:tcBorders>
              <w:top w:val="nil"/>
              <w:left w:val="nil"/>
              <w:bottom w:val="nil"/>
              <w:right w:val="nil"/>
            </w:tcBorders>
            <w:noWrap/>
            <w:vAlign w:val="bottom"/>
            <w:hideMark/>
          </w:tcPr>
          <w:p w14:paraId="6D4510ED"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CC</w:t>
            </w:r>
          </w:p>
        </w:tc>
        <w:tc>
          <w:tcPr>
            <w:tcW w:w="0" w:type="auto"/>
            <w:tcBorders>
              <w:top w:val="nil"/>
              <w:left w:val="nil"/>
              <w:bottom w:val="nil"/>
              <w:right w:val="nil"/>
            </w:tcBorders>
            <w:noWrap/>
            <w:vAlign w:val="bottom"/>
            <w:hideMark/>
          </w:tcPr>
          <w:p w14:paraId="0DA7567A"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DCM</w:t>
            </w:r>
          </w:p>
        </w:tc>
        <w:tc>
          <w:tcPr>
            <w:tcW w:w="0" w:type="auto"/>
            <w:tcBorders>
              <w:top w:val="nil"/>
              <w:left w:val="nil"/>
              <w:bottom w:val="nil"/>
              <w:right w:val="nil"/>
            </w:tcBorders>
            <w:noWrap/>
            <w:vAlign w:val="bottom"/>
            <w:hideMark/>
          </w:tcPr>
          <w:p w14:paraId="67AD3BE4"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LM</w:t>
            </w:r>
          </w:p>
        </w:tc>
        <w:tc>
          <w:tcPr>
            <w:tcW w:w="0" w:type="auto"/>
            <w:tcBorders>
              <w:top w:val="nil"/>
              <w:left w:val="nil"/>
              <w:bottom w:val="nil"/>
              <w:right w:val="nil"/>
            </w:tcBorders>
            <w:noWrap/>
            <w:vAlign w:val="bottom"/>
            <w:hideMark/>
          </w:tcPr>
          <w:p w14:paraId="7BDF9528"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LS</w:t>
            </w:r>
          </w:p>
        </w:tc>
      </w:tr>
      <w:tr w:rsidR="00FA2662" w14:paraId="1B40C1C6" w14:textId="77777777" w:rsidTr="0030164D">
        <w:trPr>
          <w:trHeight w:val="300"/>
        </w:trPr>
        <w:tc>
          <w:tcPr>
            <w:tcW w:w="0" w:type="auto"/>
            <w:gridSpan w:val="3"/>
            <w:tcBorders>
              <w:top w:val="nil"/>
              <w:left w:val="nil"/>
              <w:bottom w:val="nil"/>
              <w:right w:val="nil"/>
            </w:tcBorders>
            <w:noWrap/>
            <w:vAlign w:val="bottom"/>
            <w:hideMark/>
          </w:tcPr>
          <w:p w14:paraId="41338256"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Computer Comprehension (CC)</w:t>
            </w:r>
          </w:p>
        </w:tc>
        <w:tc>
          <w:tcPr>
            <w:tcW w:w="0" w:type="auto"/>
            <w:tcBorders>
              <w:top w:val="nil"/>
              <w:left w:val="nil"/>
              <w:bottom w:val="nil"/>
              <w:right w:val="nil"/>
            </w:tcBorders>
            <w:noWrap/>
            <w:vAlign w:val="bottom"/>
            <w:hideMark/>
          </w:tcPr>
          <w:p w14:paraId="701C0072" w14:textId="77777777" w:rsidR="00FA2662" w:rsidRDefault="00FA2662" w:rsidP="0030164D">
            <w:pPr>
              <w:rPr>
                <w:rFonts w:ascii="Arial" w:hAnsi="Arial" w:cs="Arial"/>
                <w:b/>
                <w:bCs/>
                <w:color w:val="1F1F1F"/>
                <w:sz w:val="22"/>
                <w:szCs w:val="22"/>
              </w:rPr>
            </w:pPr>
          </w:p>
        </w:tc>
        <w:tc>
          <w:tcPr>
            <w:tcW w:w="0" w:type="auto"/>
            <w:tcBorders>
              <w:top w:val="nil"/>
              <w:left w:val="nil"/>
              <w:bottom w:val="nil"/>
              <w:right w:val="nil"/>
            </w:tcBorders>
            <w:noWrap/>
            <w:vAlign w:val="bottom"/>
            <w:hideMark/>
          </w:tcPr>
          <w:p w14:paraId="7D4A0222" w14:textId="77777777" w:rsidR="00FA2662" w:rsidRDefault="00FA2662" w:rsidP="0030164D">
            <w:pPr>
              <w:rPr>
                <w:sz w:val="20"/>
                <w:szCs w:val="20"/>
              </w:rPr>
            </w:pPr>
          </w:p>
        </w:tc>
      </w:tr>
      <w:tr w:rsidR="00FA2662" w14:paraId="10858251" w14:textId="77777777" w:rsidTr="0030164D">
        <w:trPr>
          <w:trHeight w:val="300"/>
        </w:trPr>
        <w:tc>
          <w:tcPr>
            <w:tcW w:w="0" w:type="auto"/>
            <w:tcBorders>
              <w:top w:val="nil"/>
              <w:left w:val="nil"/>
              <w:bottom w:val="nil"/>
              <w:right w:val="nil"/>
            </w:tcBorders>
            <w:noWrap/>
            <w:vAlign w:val="bottom"/>
            <w:hideMark/>
          </w:tcPr>
          <w:p w14:paraId="1E56804E"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Digital Comics Media (DCM)</w:t>
            </w:r>
          </w:p>
        </w:tc>
        <w:tc>
          <w:tcPr>
            <w:tcW w:w="0" w:type="auto"/>
            <w:tcBorders>
              <w:top w:val="nil"/>
              <w:left w:val="nil"/>
              <w:bottom w:val="nil"/>
              <w:right w:val="nil"/>
            </w:tcBorders>
            <w:noWrap/>
            <w:vAlign w:val="bottom"/>
            <w:hideMark/>
          </w:tcPr>
          <w:p w14:paraId="7784ECBA" w14:textId="77777777" w:rsidR="00FA2662" w:rsidRDefault="00FA2662" w:rsidP="0030164D">
            <w:pPr>
              <w:jc w:val="right"/>
              <w:rPr>
                <w:rFonts w:ascii="Arial" w:hAnsi="Arial" w:cs="Arial"/>
                <w:color w:val="1F1F1F"/>
                <w:sz w:val="22"/>
                <w:szCs w:val="22"/>
              </w:rPr>
            </w:pPr>
            <w:r>
              <w:rPr>
                <w:rFonts w:ascii="Arial" w:hAnsi="Arial" w:cs="Arial"/>
                <w:color w:val="1F1F1F"/>
                <w:sz w:val="22"/>
                <w:szCs w:val="22"/>
              </w:rPr>
              <w:t>0.904</w:t>
            </w:r>
          </w:p>
        </w:tc>
        <w:tc>
          <w:tcPr>
            <w:tcW w:w="0" w:type="auto"/>
            <w:tcBorders>
              <w:top w:val="nil"/>
              <w:left w:val="nil"/>
              <w:bottom w:val="nil"/>
              <w:right w:val="nil"/>
            </w:tcBorders>
            <w:noWrap/>
            <w:vAlign w:val="bottom"/>
            <w:hideMark/>
          </w:tcPr>
          <w:p w14:paraId="417A84D8" w14:textId="77777777" w:rsidR="00FA2662" w:rsidRDefault="00FA2662" w:rsidP="0030164D">
            <w:pPr>
              <w:jc w:val="right"/>
              <w:rPr>
                <w:rFonts w:ascii="Arial" w:hAnsi="Arial" w:cs="Arial"/>
                <w:color w:val="1F1F1F"/>
                <w:sz w:val="22"/>
                <w:szCs w:val="22"/>
              </w:rPr>
            </w:pPr>
          </w:p>
        </w:tc>
        <w:tc>
          <w:tcPr>
            <w:tcW w:w="0" w:type="auto"/>
            <w:tcBorders>
              <w:top w:val="nil"/>
              <w:left w:val="nil"/>
              <w:bottom w:val="nil"/>
              <w:right w:val="nil"/>
            </w:tcBorders>
            <w:noWrap/>
            <w:vAlign w:val="bottom"/>
            <w:hideMark/>
          </w:tcPr>
          <w:p w14:paraId="14473441" w14:textId="77777777" w:rsidR="00FA2662" w:rsidRDefault="00FA2662" w:rsidP="0030164D">
            <w:pPr>
              <w:rPr>
                <w:sz w:val="20"/>
                <w:szCs w:val="20"/>
              </w:rPr>
            </w:pPr>
          </w:p>
        </w:tc>
        <w:tc>
          <w:tcPr>
            <w:tcW w:w="0" w:type="auto"/>
            <w:tcBorders>
              <w:top w:val="nil"/>
              <w:left w:val="nil"/>
              <w:bottom w:val="nil"/>
              <w:right w:val="nil"/>
            </w:tcBorders>
            <w:noWrap/>
            <w:vAlign w:val="bottom"/>
            <w:hideMark/>
          </w:tcPr>
          <w:p w14:paraId="0AAC56AB" w14:textId="77777777" w:rsidR="00FA2662" w:rsidRDefault="00FA2662" w:rsidP="0030164D">
            <w:pPr>
              <w:rPr>
                <w:sz w:val="20"/>
                <w:szCs w:val="20"/>
              </w:rPr>
            </w:pPr>
          </w:p>
        </w:tc>
      </w:tr>
      <w:tr w:rsidR="00FA2662" w14:paraId="4E6AC0E1" w14:textId="77777777" w:rsidTr="0030164D">
        <w:trPr>
          <w:trHeight w:val="300"/>
        </w:trPr>
        <w:tc>
          <w:tcPr>
            <w:tcW w:w="0" w:type="auto"/>
            <w:tcBorders>
              <w:top w:val="nil"/>
              <w:left w:val="nil"/>
              <w:bottom w:val="nil"/>
              <w:right w:val="nil"/>
            </w:tcBorders>
            <w:noWrap/>
            <w:vAlign w:val="bottom"/>
            <w:hideMark/>
          </w:tcPr>
          <w:p w14:paraId="6CE506A2"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Learning Motivation (LM)</w:t>
            </w:r>
          </w:p>
        </w:tc>
        <w:tc>
          <w:tcPr>
            <w:tcW w:w="0" w:type="auto"/>
            <w:tcBorders>
              <w:top w:val="nil"/>
              <w:left w:val="nil"/>
              <w:bottom w:val="nil"/>
              <w:right w:val="nil"/>
            </w:tcBorders>
            <w:noWrap/>
            <w:vAlign w:val="bottom"/>
            <w:hideMark/>
          </w:tcPr>
          <w:p w14:paraId="293C714F" w14:textId="77777777" w:rsidR="00FA2662" w:rsidRDefault="00FA2662" w:rsidP="0030164D">
            <w:pPr>
              <w:jc w:val="right"/>
              <w:rPr>
                <w:rFonts w:ascii="Arial" w:hAnsi="Arial" w:cs="Arial"/>
                <w:color w:val="1F1F1F"/>
                <w:sz w:val="22"/>
                <w:szCs w:val="22"/>
              </w:rPr>
            </w:pPr>
            <w:r>
              <w:rPr>
                <w:rFonts w:ascii="Arial" w:hAnsi="Arial" w:cs="Arial"/>
                <w:color w:val="1F1F1F"/>
                <w:sz w:val="22"/>
                <w:szCs w:val="22"/>
              </w:rPr>
              <w:t>0.875</w:t>
            </w:r>
          </w:p>
        </w:tc>
        <w:tc>
          <w:tcPr>
            <w:tcW w:w="0" w:type="auto"/>
            <w:tcBorders>
              <w:top w:val="nil"/>
              <w:left w:val="nil"/>
              <w:bottom w:val="nil"/>
              <w:right w:val="nil"/>
            </w:tcBorders>
            <w:noWrap/>
            <w:vAlign w:val="bottom"/>
            <w:hideMark/>
          </w:tcPr>
          <w:p w14:paraId="0ED3B24D" w14:textId="77777777" w:rsidR="00FA2662" w:rsidRDefault="00FA2662" w:rsidP="0030164D">
            <w:pPr>
              <w:jc w:val="right"/>
              <w:rPr>
                <w:rFonts w:ascii="Arial" w:hAnsi="Arial" w:cs="Arial"/>
                <w:color w:val="1F1F1F"/>
                <w:sz w:val="22"/>
                <w:szCs w:val="22"/>
              </w:rPr>
            </w:pPr>
            <w:r>
              <w:rPr>
                <w:rFonts w:ascii="Arial" w:hAnsi="Arial" w:cs="Arial"/>
                <w:color w:val="1F1F1F"/>
                <w:sz w:val="22"/>
                <w:szCs w:val="22"/>
              </w:rPr>
              <w:t>0.721</w:t>
            </w:r>
          </w:p>
        </w:tc>
        <w:tc>
          <w:tcPr>
            <w:tcW w:w="0" w:type="auto"/>
            <w:tcBorders>
              <w:top w:val="nil"/>
              <w:left w:val="nil"/>
              <w:bottom w:val="nil"/>
              <w:right w:val="nil"/>
            </w:tcBorders>
            <w:noWrap/>
            <w:vAlign w:val="bottom"/>
            <w:hideMark/>
          </w:tcPr>
          <w:p w14:paraId="6A6BFC34" w14:textId="77777777" w:rsidR="00FA2662" w:rsidRDefault="00FA2662" w:rsidP="0030164D">
            <w:pPr>
              <w:jc w:val="right"/>
              <w:rPr>
                <w:rFonts w:ascii="Arial" w:hAnsi="Arial" w:cs="Arial"/>
                <w:color w:val="1F1F1F"/>
                <w:sz w:val="22"/>
                <w:szCs w:val="22"/>
              </w:rPr>
            </w:pPr>
          </w:p>
        </w:tc>
        <w:tc>
          <w:tcPr>
            <w:tcW w:w="0" w:type="auto"/>
            <w:tcBorders>
              <w:top w:val="nil"/>
              <w:left w:val="nil"/>
              <w:bottom w:val="nil"/>
              <w:right w:val="nil"/>
            </w:tcBorders>
            <w:noWrap/>
            <w:vAlign w:val="bottom"/>
            <w:hideMark/>
          </w:tcPr>
          <w:p w14:paraId="4BB734A0" w14:textId="77777777" w:rsidR="00FA2662" w:rsidRDefault="00FA2662" w:rsidP="0030164D">
            <w:pPr>
              <w:rPr>
                <w:sz w:val="20"/>
                <w:szCs w:val="20"/>
              </w:rPr>
            </w:pPr>
          </w:p>
        </w:tc>
      </w:tr>
      <w:tr w:rsidR="00FA2662" w14:paraId="27B001C0" w14:textId="77777777" w:rsidTr="0030164D">
        <w:trPr>
          <w:trHeight w:val="300"/>
        </w:trPr>
        <w:tc>
          <w:tcPr>
            <w:tcW w:w="0" w:type="auto"/>
            <w:tcBorders>
              <w:top w:val="nil"/>
              <w:left w:val="nil"/>
              <w:bottom w:val="nil"/>
              <w:right w:val="nil"/>
            </w:tcBorders>
            <w:noWrap/>
            <w:vAlign w:val="bottom"/>
            <w:hideMark/>
          </w:tcPr>
          <w:p w14:paraId="70766103" w14:textId="77777777" w:rsidR="00FA2662" w:rsidRDefault="00FA2662" w:rsidP="0030164D">
            <w:pPr>
              <w:rPr>
                <w:rFonts w:ascii="Arial" w:hAnsi="Arial" w:cs="Arial"/>
                <w:b/>
                <w:bCs/>
                <w:color w:val="1F1F1F"/>
                <w:sz w:val="22"/>
                <w:szCs w:val="22"/>
              </w:rPr>
            </w:pPr>
            <w:r>
              <w:rPr>
                <w:rFonts w:ascii="Arial" w:hAnsi="Arial" w:cs="Arial"/>
                <w:b/>
                <w:bCs/>
                <w:color w:val="1F1F1F"/>
                <w:sz w:val="22"/>
                <w:szCs w:val="22"/>
              </w:rPr>
              <w:t>Learning Strategies (LS)</w:t>
            </w:r>
          </w:p>
        </w:tc>
        <w:tc>
          <w:tcPr>
            <w:tcW w:w="0" w:type="auto"/>
            <w:tcBorders>
              <w:top w:val="nil"/>
              <w:left w:val="nil"/>
              <w:bottom w:val="nil"/>
              <w:right w:val="nil"/>
            </w:tcBorders>
            <w:noWrap/>
            <w:vAlign w:val="bottom"/>
            <w:hideMark/>
          </w:tcPr>
          <w:p w14:paraId="087491CD" w14:textId="77777777" w:rsidR="00FA2662" w:rsidRDefault="00FA2662" w:rsidP="0030164D">
            <w:pPr>
              <w:jc w:val="right"/>
              <w:rPr>
                <w:rFonts w:ascii="Arial" w:hAnsi="Arial" w:cs="Arial"/>
                <w:color w:val="1F1F1F"/>
                <w:sz w:val="22"/>
                <w:szCs w:val="22"/>
              </w:rPr>
            </w:pPr>
            <w:r>
              <w:rPr>
                <w:rFonts w:ascii="Arial" w:hAnsi="Arial" w:cs="Arial"/>
                <w:color w:val="1F1F1F"/>
                <w:sz w:val="22"/>
                <w:szCs w:val="22"/>
              </w:rPr>
              <w:t>0.63</w:t>
            </w:r>
          </w:p>
        </w:tc>
        <w:tc>
          <w:tcPr>
            <w:tcW w:w="0" w:type="auto"/>
            <w:tcBorders>
              <w:top w:val="nil"/>
              <w:left w:val="nil"/>
              <w:bottom w:val="nil"/>
              <w:right w:val="nil"/>
            </w:tcBorders>
            <w:noWrap/>
            <w:vAlign w:val="bottom"/>
            <w:hideMark/>
          </w:tcPr>
          <w:p w14:paraId="7B0A138D" w14:textId="77777777" w:rsidR="00FA2662" w:rsidRDefault="00FA2662" w:rsidP="0030164D">
            <w:pPr>
              <w:jc w:val="right"/>
              <w:rPr>
                <w:rFonts w:ascii="Arial" w:hAnsi="Arial" w:cs="Arial"/>
                <w:color w:val="1F1F1F"/>
                <w:sz w:val="22"/>
                <w:szCs w:val="22"/>
              </w:rPr>
            </w:pPr>
            <w:r>
              <w:rPr>
                <w:rFonts w:ascii="Arial" w:hAnsi="Arial" w:cs="Arial"/>
                <w:color w:val="1F1F1F"/>
                <w:sz w:val="22"/>
                <w:szCs w:val="22"/>
              </w:rPr>
              <w:t>0.319</w:t>
            </w:r>
          </w:p>
        </w:tc>
        <w:tc>
          <w:tcPr>
            <w:tcW w:w="0" w:type="auto"/>
            <w:tcBorders>
              <w:top w:val="nil"/>
              <w:left w:val="nil"/>
              <w:bottom w:val="nil"/>
              <w:right w:val="nil"/>
            </w:tcBorders>
            <w:noWrap/>
            <w:vAlign w:val="bottom"/>
            <w:hideMark/>
          </w:tcPr>
          <w:p w14:paraId="4C9CFD43" w14:textId="77777777" w:rsidR="00FA2662" w:rsidRDefault="00FA2662" w:rsidP="0030164D">
            <w:pPr>
              <w:jc w:val="right"/>
              <w:rPr>
                <w:rFonts w:ascii="Arial" w:hAnsi="Arial" w:cs="Arial"/>
                <w:color w:val="1F1F1F"/>
                <w:sz w:val="22"/>
                <w:szCs w:val="22"/>
              </w:rPr>
            </w:pPr>
            <w:r>
              <w:rPr>
                <w:rFonts w:ascii="Arial" w:hAnsi="Arial" w:cs="Arial"/>
                <w:color w:val="1F1F1F"/>
                <w:sz w:val="22"/>
                <w:szCs w:val="22"/>
              </w:rPr>
              <w:t>0.79</w:t>
            </w:r>
          </w:p>
        </w:tc>
        <w:tc>
          <w:tcPr>
            <w:tcW w:w="0" w:type="auto"/>
            <w:tcBorders>
              <w:top w:val="nil"/>
              <w:left w:val="nil"/>
              <w:bottom w:val="nil"/>
              <w:right w:val="nil"/>
            </w:tcBorders>
            <w:noWrap/>
            <w:vAlign w:val="bottom"/>
            <w:hideMark/>
          </w:tcPr>
          <w:p w14:paraId="3DACC28A" w14:textId="77777777" w:rsidR="00FA2662" w:rsidRDefault="00FA2662" w:rsidP="0030164D">
            <w:pPr>
              <w:jc w:val="right"/>
              <w:rPr>
                <w:rFonts w:ascii="Arial" w:hAnsi="Arial" w:cs="Arial"/>
                <w:color w:val="1F1F1F"/>
                <w:sz w:val="22"/>
                <w:szCs w:val="22"/>
              </w:rPr>
            </w:pPr>
          </w:p>
        </w:tc>
      </w:tr>
    </w:tbl>
    <w:p w14:paraId="3E3476B7" w14:textId="77777777" w:rsidR="00FA2662" w:rsidRDefault="00FA2662" w:rsidP="007552A6">
      <w:pPr>
        <w:pStyle w:val="NormalWeb"/>
      </w:pPr>
    </w:p>
    <w:p w14:paraId="1F5F47D7" w14:textId="5C6425C8" w:rsidR="00F24C7F" w:rsidRDefault="004515B8" w:rsidP="004515B8">
      <w:pPr>
        <w:pStyle w:val="Heading3"/>
      </w:pPr>
      <w:r w:rsidRPr="004515B8">
        <w:t>Structural Model Assessment (Inner Model)</w:t>
      </w:r>
    </w:p>
    <w:p w14:paraId="46D026FB" w14:textId="2E6A2FAB" w:rsidR="004515B8" w:rsidRDefault="004515B8" w:rsidP="004515B8">
      <w:r w:rsidRPr="004515B8">
        <w:t>Following the validation of the measurement model, the structural model was evaluated to determine its explanatory power and to test the hypotheses. Prior to the path analysis, collinearity issues were examined. The variance inflation factor (VIF) values for the inner model were all below the threshold of 3.0, indicating that collinearity is not a critical issue in this study.</w:t>
      </w:r>
    </w:p>
    <w:p w14:paraId="44E9DA5E" w14:textId="77777777" w:rsidR="003C47FF" w:rsidRDefault="003C47FF" w:rsidP="004515B8"/>
    <w:p w14:paraId="4007A1E0" w14:textId="39B5F337" w:rsidR="003C47FF" w:rsidRDefault="00B900DB" w:rsidP="004515B8">
      <w:r>
        <w:rPr>
          <w:noProof/>
          <w14:ligatures w14:val="standardContextual"/>
        </w:rPr>
        <w:drawing>
          <wp:inline distT="0" distB="0" distL="0" distR="0" wp14:anchorId="1440451F" wp14:editId="2894AB1C">
            <wp:extent cx="5273902" cy="2651282"/>
            <wp:effectExtent l="0" t="0" r="0" b="3175"/>
            <wp:docPr id="205425466" name="Picture 1" descr="A black background with white circl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5466" name="Picture 1" descr="A black background with white circles and number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311963" cy="2670416"/>
                    </a:xfrm>
                    <a:prstGeom prst="rect">
                      <a:avLst/>
                    </a:prstGeom>
                  </pic:spPr>
                </pic:pic>
              </a:graphicData>
            </a:graphic>
          </wp:inline>
        </w:drawing>
      </w:r>
    </w:p>
    <w:p w14:paraId="0C2CDCEB" w14:textId="5BC114C9" w:rsidR="00B900DB" w:rsidRDefault="00B900DB" w:rsidP="004515B8">
      <w:r>
        <w:t xml:space="preserve">Figure 3. </w:t>
      </w:r>
      <w:r w:rsidRPr="00B900DB">
        <w:t xml:space="preserve">The </w:t>
      </w:r>
      <w:r>
        <w:t>f</w:t>
      </w:r>
      <w:r w:rsidRPr="00B900DB">
        <w:t xml:space="preserve">inal PLS-SEM </w:t>
      </w:r>
      <w:r w:rsidRPr="00B900DB">
        <w:t>structural model</w:t>
      </w:r>
    </w:p>
    <w:p w14:paraId="01415162" w14:textId="77777777" w:rsidR="00A55DA9" w:rsidRDefault="003C47FF" w:rsidP="004515B8">
      <w:r w:rsidRPr="003C47FF">
        <w:t xml:space="preserve">Figure </w:t>
      </w:r>
      <w:r w:rsidR="00672228">
        <w:t>3</w:t>
      </w:r>
      <w:r w:rsidRPr="003C47FF">
        <w:t xml:space="preserve"> illustrates the structural model and its predictive accuracy, measured by the coefficient of determination (</w:t>
      </w:r>
      <w:r w:rsidRPr="003C47FF">
        <w:rPr>
          <w:i/>
          <w:iCs/>
        </w:rPr>
        <w:t>R</w:t>
      </w:r>
      <w:r w:rsidRPr="003C47FF">
        <w:rPr>
          <w:i/>
          <w:iCs/>
          <w:vertAlign w:val="superscript"/>
        </w:rPr>
        <w:t>2</w:t>
      </w:r>
      <w:r w:rsidRPr="003C47FF">
        <w:t>). The model exhibits a substantial explanatory power for Learning Motivation (</w:t>
      </w:r>
      <w:r w:rsidRPr="003C47FF">
        <w:rPr>
          <w:i/>
          <w:iCs/>
        </w:rPr>
        <w:t>R</w:t>
      </w:r>
      <w:r w:rsidRPr="003C47FF">
        <w:rPr>
          <w:i/>
          <w:iCs/>
          <w:vertAlign w:val="superscript"/>
        </w:rPr>
        <w:t>2</w:t>
      </w:r>
      <w:r w:rsidRPr="003C47FF">
        <w:t xml:space="preserve"> = 0.765), meaning that 76.5% of the variance in students' motivation is collectively explained by the learning strategies and the digital comics media. Furthermore, the model demonstrates a moderate to strong predictive capability for Computer Comprehension </w:t>
      </w:r>
      <w:r w:rsidRPr="003C47FF">
        <w:rPr>
          <w:i/>
          <w:iCs/>
        </w:rPr>
        <w:t>R</w:t>
      </w:r>
      <w:r w:rsidRPr="003C47FF">
        <w:rPr>
          <w:i/>
          <w:iCs/>
          <w:vertAlign w:val="superscript"/>
        </w:rPr>
        <w:t>2</w:t>
      </w:r>
      <w:r w:rsidRPr="003C47FF">
        <w:t xml:space="preserve"> = 0.622), indicating that 62.2% of the variance in material mastery is driven by the students' motivation.To test the proposed hypotheses, a bootstrapping procedure with 5,000 subsamples was executed. The significance of both direct and specific indirect effects is summarized in </w:t>
      </w:r>
      <w:r w:rsidR="00A55DA9">
        <w:t>Table 6.</w:t>
      </w:r>
    </w:p>
    <w:p w14:paraId="6574DA3D" w14:textId="4F1F5D0B" w:rsidR="003C47FF" w:rsidRDefault="003C47FF" w:rsidP="004515B8">
      <w:r w:rsidRPr="003C47FF">
        <w:t xml:space="preserve">Table </w:t>
      </w:r>
      <w:r w:rsidR="00814FD5">
        <w:t>6</w:t>
      </w:r>
      <w:r w:rsidRPr="003C47FF">
        <w:t>.</w:t>
      </w:r>
      <w:r w:rsidR="00E01CC1" w:rsidRPr="00E01CC1">
        <w:t xml:space="preserve"> </w:t>
      </w:r>
      <w:r w:rsidR="00E01CC1" w:rsidRPr="00E01CC1">
        <w:t xml:space="preserve">Summary of </w:t>
      </w:r>
      <w:r w:rsidR="00E01CC1" w:rsidRPr="00E01CC1">
        <w:t>hypothesis testing</w:t>
      </w:r>
    </w:p>
    <w:tbl>
      <w:tblPr>
        <w:tblW w:w="9380" w:type="dxa"/>
        <w:tblLayout w:type="fixed"/>
        <w:tblLook w:val="04A0" w:firstRow="1" w:lastRow="0" w:firstColumn="1" w:lastColumn="0" w:noHBand="0" w:noVBand="1"/>
      </w:tblPr>
      <w:tblGrid>
        <w:gridCol w:w="1560"/>
        <w:gridCol w:w="1984"/>
        <w:gridCol w:w="2126"/>
        <w:gridCol w:w="1300"/>
        <w:gridCol w:w="1110"/>
        <w:gridCol w:w="1300"/>
      </w:tblGrid>
      <w:tr w:rsidR="008113FF" w:rsidRPr="00672228" w14:paraId="075B144D" w14:textId="77777777" w:rsidTr="008113FF">
        <w:trPr>
          <w:trHeight w:val="300"/>
        </w:trPr>
        <w:tc>
          <w:tcPr>
            <w:tcW w:w="1560" w:type="dxa"/>
            <w:tcBorders>
              <w:top w:val="nil"/>
              <w:left w:val="nil"/>
              <w:bottom w:val="nil"/>
              <w:right w:val="nil"/>
            </w:tcBorders>
            <w:noWrap/>
            <w:vAlign w:val="bottom"/>
            <w:hideMark/>
          </w:tcPr>
          <w:p w14:paraId="2622748B"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Hypothesis</w:t>
            </w:r>
          </w:p>
        </w:tc>
        <w:tc>
          <w:tcPr>
            <w:tcW w:w="1984" w:type="dxa"/>
            <w:tcBorders>
              <w:top w:val="nil"/>
              <w:left w:val="nil"/>
              <w:bottom w:val="nil"/>
              <w:right w:val="nil"/>
            </w:tcBorders>
            <w:noWrap/>
            <w:vAlign w:val="bottom"/>
            <w:hideMark/>
          </w:tcPr>
          <w:p w14:paraId="12DDC1C7"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Relationship (Path)</w:t>
            </w:r>
          </w:p>
        </w:tc>
        <w:tc>
          <w:tcPr>
            <w:tcW w:w="2126" w:type="dxa"/>
            <w:tcBorders>
              <w:top w:val="nil"/>
              <w:left w:val="nil"/>
              <w:bottom w:val="nil"/>
              <w:right w:val="nil"/>
            </w:tcBorders>
            <w:noWrap/>
            <w:vAlign w:val="bottom"/>
            <w:hideMark/>
          </w:tcPr>
          <w:p w14:paraId="605FBB7E"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Path Coefficient (β)</w:t>
            </w:r>
          </w:p>
        </w:tc>
        <w:tc>
          <w:tcPr>
            <w:tcW w:w="1300" w:type="dxa"/>
            <w:tcBorders>
              <w:top w:val="nil"/>
              <w:left w:val="nil"/>
              <w:bottom w:val="nil"/>
              <w:right w:val="nil"/>
            </w:tcBorders>
            <w:noWrap/>
            <w:vAlign w:val="bottom"/>
            <w:hideMark/>
          </w:tcPr>
          <w:p w14:paraId="53A8C68F"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T-Statistics</w:t>
            </w:r>
          </w:p>
        </w:tc>
        <w:tc>
          <w:tcPr>
            <w:tcW w:w="1110" w:type="dxa"/>
            <w:tcBorders>
              <w:top w:val="nil"/>
              <w:left w:val="nil"/>
              <w:bottom w:val="nil"/>
              <w:right w:val="nil"/>
            </w:tcBorders>
            <w:noWrap/>
            <w:vAlign w:val="bottom"/>
            <w:hideMark/>
          </w:tcPr>
          <w:p w14:paraId="0CD64A79"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P-Values</w:t>
            </w:r>
          </w:p>
        </w:tc>
        <w:tc>
          <w:tcPr>
            <w:tcW w:w="1300" w:type="dxa"/>
            <w:tcBorders>
              <w:top w:val="nil"/>
              <w:left w:val="nil"/>
              <w:bottom w:val="nil"/>
              <w:right w:val="nil"/>
            </w:tcBorders>
            <w:noWrap/>
            <w:vAlign w:val="bottom"/>
            <w:hideMark/>
          </w:tcPr>
          <w:p w14:paraId="13F3B45D"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Decision</w:t>
            </w:r>
          </w:p>
        </w:tc>
      </w:tr>
      <w:tr w:rsidR="008113FF" w:rsidRPr="00672228" w14:paraId="5B136569" w14:textId="77777777" w:rsidTr="008113FF">
        <w:trPr>
          <w:trHeight w:val="300"/>
        </w:trPr>
        <w:tc>
          <w:tcPr>
            <w:tcW w:w="1560" w:type="dxa"/>
            <w:tcBorders>
              <w:top w:val="nil"/>
              <w:left w:val="nil"/>
              <w:bottom w:val="nil"/>
              <w:right w:val="nil"/>
            </w:tcBorders>
            <w:noWrap/>
            <w:vAlign w:val="bottom"/>
            <w:hideMark/>
          </w:tcPr>
          <w:p w14:paraId="4C269082"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H1 (Direct)</w:t>
            </w:r>
          </w:p>
        </w:tc>
        <w:tc>
          <w:tcPr>
            <w:tcW w:w="1984" w:type="dxa"/>
            <w:tcBorders>
              <w:top w:val="nil"/>
              <w:left w:val="nil"/>
              <w:bottom w:val="nil"/>
              <w:right w:val="nil"/>
            </w:tcBorders>
            <w:noWrap/>
            <w:vAlign w:val="bottom"/>
            <w:hideMark/>
          </w:tcPr>
          <w:p w14:paraId="7E82B074"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LS -&gt; LM</w:t>
            </w:r>
          </w:p>
        </w:tc>
        <w:tc>
          <w:tcPr>
            <w:tcW w:w="2126" w:type="dxa"/>
            <w:tcBorders>
              <w:top w:val="nil"/>
              <w:left w:val="nil"/>
              <w:bottom w:val="nil"/>
              <w:right w:val="nil"/>
            </w:tcBorders>
            <w:noWrap/>
            <w:vAlign w:val="bottom"/>
            <w:hideMark/>
          </w:tcPr>
          <w:p w14:paraId="76B83B30"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0.606</w:t>
            </w:r>
          </w:p>
        </w:tc>
        <w:tc>
          <w:tcPr>
            <w:tcW w:w="1300" w:type="dxa"/>
            <w:tcBorders>
              <w:top w:val="nil"/>
              <w:left w:val="nil"/>
              <w:bottom w:val="nil"/>
              <w:right w:val="nil"/>
            </w:tcBorders>
            <w:noWrap/>
            <w:vAlign w:val="bottom"/>
            <w:hideMark/>
          </w:tcPr>
          <w:p w14:paraId="14C3939B"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6.961</w:t>
            </w:r>
          </w:p>
        </w:tc>
        <w:tc>
          <w:tcPr>
            <w:tcW w:w="1110" w:type="dxa"/>
            <w:tcBorders>
              <w:top w:val="nil"/>
              <w:left w:val="nil"/>
              <w:bottom w:val="nil"/>
              <w:right w:val="nil"/>
            </w:tcBorders>
            <w:noWrap/>
            <w:vAlign w:val="bottom"/>
            <w:hideMark/>
          </w:tcPr>
          <w:p w14:paraId="2E025BD4"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w:t>
            </w:r>
          </w:p>
        </w:tc>
        <w:tc>
          <w:tcPr>
            <w:tcW w:w="1300" w:type="dxa"/>
            <w:tcBorders>
              <w:top w:val="nil"/>
              <w:left w:val="nil"/>
              <w:bottom w:val="nil"/>
              <w:right w:val="nil"/>
            </w:tcBorders>
            <w:noWrap/>
            <w:vAlign w:val="bottom"/>
            <w:hideMark/>
          </w:tcPr>
          <w:p w14:paraId="2B89A889"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Supported</w:t>
            </w:r>
          </w:p>
        </w:tc>
      </w:tr>
      <w:tr w:rsidR="008113FF" w:rsidRPr="00672228" w14:paraId="1CFA7159" w14:textId="77777777" w:rsidTr="008113FF">
        <w:trPr>
          <w:trHeight w:val="300"/>
        </w:trPr>
        <w:tc>
          <w:tcPr>
            <w:tcW w:w="1560" w:type="dxa"/>
            <w:tcBorders>
              <w:top w:val="nil"/>
              <w:left w:val="nil"/>
              <w:bottom w:val="nil"/>
              <w:right w:val="nil"/>
            </w:tcBorders>
            <w:noWrap/>
            <w:vAlign w:val="bottom"/>
            <w:hideMark/>
          </w:tcPr>
          <w:p w14:paraId="12265E97"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H2 (Direct)</w:t>
            </w:r>
          </w:p>
        </w:tc>
        <w:tc>
          <w:tcPr>
            <w:tcW w:w="1984" w:type="dxa"/>
            <w:tcBorders>
              <w:top w:val="nil"/>
              <w:left w:val="nil"/>
              <w:bottom w:val="nil"/>
              <w:right w:val="nil"/>
            </w:tcBorders>
            <w:noWrap/>
            <w:vAlign w:val="bottom"/>
            <w:hideMark/>
          </w:tcPr>
          <w:p w14:paraId="65077A7B"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DCM -&gt; LM</w:t>
            </w:r>
          </w:p>
        </w:tc>
        <w:tc>
          <w:tcPr>
            <w:tcW w:w="2126" w:type="dxa"/>
            <w:tcBorders>
              <w:top w:val="nil"/>
              <w:left w:val="nil"/>
              <w:bottom w:val="nil"/>
              <w:right w:val="nil"/>
            </w:tcBorders>
            <w:noWrap/>
            <w:vAlign w:val="bottom"/>
            <w:hideMark/>
          </w:tcPr>
          <w:p w14:paraId="6AF2A04A"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0.482</w:t>
            </w:r>
          </w:p>
        </w:tc>
        <w:tc>
          <w:tcPr>
            <w:tcW w:w="1300" w:type="dxa"/>
            <w:tcBorders>
              <w:top w:val="nil"/>
              <w:left w:val="nil"/>
              <w:bottom w:val="nil"/>
              <w:right w:val="nil"/>
            </w:tcBorders>
            <w:noWrap/>
            <w:vAlign w:val="bottom"/>
            <w:hideMark/>
          </w:tcPr>
          <w:p w14:paraId="78FC2E64"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5.464</w:t>
            </w:r>
          </w:p>
        </w:tc>
        <w:tc>
          <w:tcPr>
            <w:tcW w:w="1110" w:type="dxa"/>
            <w:tcBorders>
              <w:top w:val="nil"/>
              <w:left w:val="nil"/>
              <w:bottom w:val="nil"/>
              <w:right w:val="nil"/>
            </w:tcBorders>
            <w:noWrap/>
            <w:vAlign w:val="bottom"/>
            <w:hideMark/>
          </w:tcPr>
          <w:p w14:paraId="7D8CA7BD"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w:t>
            </w:r>
          </w:p>
        </w:tc>
        <w:tc>
          <w:tcPr>
            <w:tcW w:w="1300" w:type="dxa"/>
            <w:tcBorders>
              <w:top w:val="nil"/>
              <w:left w:val="nil"/>
              <w:bottom w:val="nil"/>
              <w:right w:val="nil"/>
            </w:tcBorders>
            <w:noWrap/>
            <w:vAlign w:val="bottom"/>
            <w:hideMark/>
          </w:tcPr>
          <w:p w14:paraId="180BEFC7"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Supported</w:t>
            </w:r>
          </w:p>
        </w:tc>
      </w:tr>
      <w:tr w:rsidR="008113FF" w:rsidRPr="00672228" w14:paraId="1773CF59" w14:textId="77777777" w:rsidTr="008113FF">
        <w:trPr>
          <w:trHeight w:val="300"/>
        </w:trPr>
        <w:tc>
          <w:tcPr>
            <w:tcW w:w="1560" w:type="dxa"/>
            <w:tcBorders>
              <w:top w:val="nil"/>
              <w:left w:val="nil"/>
              <w:bottom w:val="nil"/>
              <w:right w:val="nil"/>
            </w:tcBorders>
            <w:noWrap/>
            <w:vAlign w:val="bottom"/>
            <w:hideMark/>
          </w:tcPr>
          <w:p w14:paraId="4EDB24D2"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t>H3 (Direct)</w:t>
            </w:r>
          </w:p>
        </w:tc>
        <w:tc>
          <w:tcPr>
            <w:tcW w:w="1984" w:type="dxa"/>
            <w:tcBorders>
              <w:top w:val="nil"/>
              <w:left w:val="nil"/>
              <w:bottom w:val="nil"/>
              <w:right w:val="nil"/>
            </w:tcBorders>
            <w:noWrap/>
            <w:vAlign w:val="bottom"/>
            <w:hideMark/>
          </w:tcPr>
          <w:p w14:paraId="48205CB0"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LM -&gt; CC</w:t>
            </w:r>
          </w:p>
        </w:tc>
        <w:tc>
          <w:tcPr>
            <w:tcW w:w="2126" w:type="dxa"/>
            <w:tcBorders>
              <w:top w:val="nil"/>
              <w:left w:val="nil"/>
              <w:bottom w:val="nil"/>
              <w:right w:val="nil"/>
            </w:tcBorders>
            <w:noWrap/>
            <w:vAlign w:val="bottom"/>
            <w:hideMark/>
          </w:tcPr>
          <w:p w14:paraId="1C90A1F5"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0.789</w:t>
            </w:r>
          </w:p>
        </w:tc>
        <w:tc>
          <w:tcPr>
            <w:tcW w:w="1300" w:type="dxa"/>
            <w:tcBorders>
              <w:top w:val="nil"/>
              <w:left w:val="nil"/>
              <w:bottom w:val="nil"/>
              <w:right w:val="nil"/>
            </w:tcBorders>
            <w:noWrap/>
            <w:vAlign w:val="bottom"/>
            <w:hideMark/>
          </w:tcPr>
          <w:p w14:paraId="73A1FB8F"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9.978</w:t>
            </w:r>
          </w:p>
        </w:tc>
        <w:tc>
          <w:tcPr>
            <w:tcW w:w="1110" w:type="dxa"/>
            <w:tcBorders>
              <w:top w:val="nil"/>
              <w:left w:val="nil"/>
              <w:bottom w:val="nil"/>
              <w:right w:val="nil"/>
            </w:tcBorders>
            <w:noWrap/>
            <w:vAlign w:val="bottom"/>
            <w:hideMark/>
          </w:tcPr>
          <w:p w14:paraId="283C88B3"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w:t>
            </w:r>
          </w:p>
        </w:tc>
        <w:tc>
          <w:tcPr>
            <w:tcW w:w="1300" w:type="dxa"/>
            <w:tcBorders>
              <w:top w:val="nil"/>
              <w:left w:val="nil"/>
              <w:bottom w:val="nil"/>
              <w:right w:val="nil"/>
            </w:tcBorders>
            <w:noWrap/>
            <w:vAlign w:val="bottom"/>
            <w:hideMark/>
          </w:tcPr>
          <w:p w14:paraId="3554F626"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Supported</w:t>
            </w:r>
          </w:p>
        </w:tc>
      </w:tr>
      <w:tr w:rsidR="008113FF" w:rsidRPr="00672228" w14:paraId="608E2AEE" w14:textId="77777777" w:rsidTr="008113FF">
        <w:trPr>
          <w:trHeight w:val="300"/>
        </w:trPr>
        <w:tc>
          <w:tcPr>
            <w:tcW w:w="1560" w:type="dxa"/>
            <w:tcBorders>
              <w:top w:val="nil"/>
              <w:left w:val="nil"/>
              <w:bottom w:val="nil"/>
              <w:right w:val="nil"/>
            </w:tcBorders>
            <w:noWrap/>
            <w:vAlign w:val="bottom"/>
            <w:hideMark/>
          </w:tcPr>
          <w:p w14:paraId="50E63E02" w14:textId="77777777" w:rsidR="00672228" w:rsidRPr="00672228" w:rsidRDefault="00672228">
            <w:pPr>
              <w:rPr>
                <w:rFonts w:ascii="Arial" w:hAnsi="Arial" w:cs="Arial"/>
                <w:b/>
                <w:bCs/>
                <w:color w:val="1F1F1F"/>
                <w:sz w:val="20"/>
                <w:szCs w:val="20"/>
              </w:rPr>
            </w:pPr>
            <w:r w:rsidRPr="00672228">
              <w:rPr>
                <w:rFonts w:ascii="Arial" w:hAnsi="Arial" w:cs="Arial"/>
                <w:b/>
                <w:bCs/>
                <w:color w:val="1F1F1F"/>
                <w:sz w:val="20"/>
                <w:szCs w:val="20"/>
              </w:rPr>
              <w:lastRenderedPageBreak/>
              <w:t>H4 (Indirect)</w:t>
            </w:r>
          </w:p>
        </w:tc>
        <w:tc>
          <w:tcPr>
            <w:tcW w:w="1984" w:type="dxa"/>
            <w:tcBorders>
              <w:top w:val="nil"/>
              <w:left w:val="nil"/>
              <w:bottom w:val="nil"/>
              <w:right w:val="nil"/>
            </w:tcBorders>
            <w:noWrap/>
            <w:vAlign w:val="bottom"/>
            <w:hideMark/>
          </w:tcPr>
          <w:p w14:paraId="2BE5A0CE"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DCM -&gt; LM -&gt; CC</w:t>
            </w:r>
          </w:p>
        </w:tc>
        <w:tc>
          <w:tcPr>
            <w:tcW w:w="2126" w:type="dxa"/>
            <w:tcBorders>
              <w:top w:val="nil"/>
              <w:left w:val="nil"/>
              <w:bottom w:val="nil"/>
              <w:right w:val="nil"/>
            </w:tcBorders>
            <w:noWrap/>
            <w:vAlign w:val="bottom"/>
            <w:hideMark/>
          </w:tcPr>
          <w:p w14:paraId="2356BCA7"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0.38</w:t>
            </w:r>
          </w:p>
        </w:tc>
        <w:tc>
          <w:tcPr>
            <w:tcW w:w="1300" w:type="dxa"/>
            <w:tcBorders>
              <w:top w:val="nil"/>
              <w:left w:val="nil"/>
              <w:bottom w:val="nil"/>
              <w:right w:val="nil"/>
            </w:tcBorders>
            <w:noWrap/>
            <w:vAlign w:val="bottom"/>
            <w:hideMark/>
          </w:tcPr>
          <w:p w14:paraId="519026E3"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4.567</w:t>
            </w:r>
          </w:p>
        </w:tc>
        <w:tc>
          <w:tcPr>
            <w:tcW w:w="1110" w:type="dxa"/>
            <w:tcBorders>
              <w:top w:val="nil"/>
              <w:left w:val="nil"/>
              <w:bottom w:val="nil"/>
              <w:right w:val="nil"/>
            </w:tcBorders>
            <w:noWrap/>
            <w:vAlign w:val="bottom"/>
            <w:hideMark/>
          </w:tcPr>
          <w:p w14:paraId="2230B29A" w14:textId="77777777" w:rsidR="00672228" w:rsidRPr="00672228" w:rsidRDefault="00672228">
            <w:pPr>
              <w:jc w:val="right"/>
              <w:rPr>
                <w:rFonts w:ascii="Arial" w:hAnsi="Arial" w:cs="Arial"/>
                <w:color w:val="1F1F1F"/>
                <w:sz w:val="20"/>
                <w:szCs w:val="20"/>
              </w:rPr>
            </w:pPr>
            <w:r w:rsidRPr="00672228">
              <w:rPr>
                <w:rFonts w:ascii="Arial" w:hAnsi="Arial" w:cs="Arial"/>
                <w:color w:val="1F1F1F"/>
                <w:sz w:val="20"/>
                <w:szCs w:val="20"/>
              </w:rPr>
              <w:t>0</w:t>
            </w:r>
          </w:p>
        </w:tc>
        <w:tc>
          <w:tcPr>
            <w:tcW w:w="1300" w:type="dxa"/>
            <w:tcBorders>
              <w:top w:val="nil"/>
              <w:left w:val="nil"/>
              <w:bottom w:val="nil"/>
              <w:right w:val="nil"/>
            </w:tcBorders>
            <w:noWrap/>
            <w:vAlign w:val="bottom"/>
            <w:hideMark/>
          </w:tcPr>
          <w:p w14:paraId="41407325" w14:textId="77777777" w:rsidR="00672228" w:rsidRPr="00672228" w:rsidRDefault="00672228">
            <w:pPr>
              <w:rPr>
                <w:rFonts w:ascii="Arial" w:hAnsi="Arial" w:cs="Arial"/>
                <w:color w:val="1F1F1F"/>
                <w:sz w:val="20"/>
                <w:szCs w:val="20"/>
              </w:rPr>
            </w:pPr>
            <w:r w:rsidRPr="00672228">
              <w:rPr>
                <w:rFonts w:ascii="Arial" w:hAnsi="Arial" w:cs="Arial"/>
                <w:color w:val="1F1F1F"/>
                <w:sz w:val="20"/>
                <w:szCs w:val="20"/>
              </w:rPr>
              <w:t>Supported</w:t>
            </w:r>
          </w:p>
        </w:tc>
      </w:tr>
    </w:tbl>
    <w:p w14:paraId="405920FD" w14:textId="77777777" w:rsidR="00814FD5" w:rsidRDefault="00814FD5" w:rsidP="004515B8"/>
    <w:p w14:paraId="173C79C5" w14:textId="6F75DFE5" w:rsidR="00672228" w:rsidRDefault="00814FD5" w:rsidP="004515B8">
      <w:r w:rsidRPr="00814FD5">
        <w:t xml:space="preserve">As detailed in Table </w:t>
      </w:r>
      <w:r>
        <w:t>6</w:t>
      </w:r>
      <w:r w:rsidRPr="00814FD5">
        <w:t>, all direct effect hypotheses were strongly supported. Hypothesis 1 is accepted (</w:t>
      </w:r>
      <w:r>
        <w:rPr>
          <w:i/>
          <w:iCs/>
        </w:rPr>
        <w:sym w:font="Symbol" w:char="F062"/>
      </w:r>
      <w:r w:rsidRPr="00814FD5">
        <w:t xml:space="preserve">= 0.606, T = 6.961, p &lt; 0.001), revealing that comic-based learning strategies (LS) significantly and positively influence student learning motivation. Similarly, Hypothesis 2 is supported </w:t>
      </w:r>
      <w:r>
        <w:t>(</w:t>
      </w:r>
      <w:r>
        <w:rPr>
          <w:i/>
          <w:iCs/>
        </w:rPr>
        <w:sym w:font="Symbol" w:char="F062"/>
      </w:r>
      <w:r w:rsidRPr="00814FD5">
        <w:t xml:space="preserve"> = 0.482, T = 5.464, p &lt; 0.001), confirming that the narrative and visual quality of digital comics media (DCM) also plays a critical role in driving motivation. Notably, the path coefficients show that pedagogical strategies have a slightly stronger impact on motivation compared to the media itself. Hypothesis 3 is also confirmed with the strongest direct effect in the model </w:t>
      </w:r>
      <w:r>
        <w:t>(</w:t>
      </w:r>
      <w:r>
        <w:rPr>
          <w:i/>
          <w:iCs/>
        </w:rPr>
        <w:sym w:font="Symbol" w:char="F062"/>
      </w:r>
      <w:r w:rsidRPr="00814FD5">
        <w:t xml:space="preserve"> = 0.789, T = 9.978, p &lt; 0.001), proving that elevated learning motivation is a highly significant predictor of informatics material mastery.Finally, the mediation analysis supports Hypothesis 4 </w:t>
      </w:r>
      <w:r>
        <w:t>(</w:t>
      </w:r>
      <w:r>
        <w:rPr>
          <w:i/>
          <w:iCs/>
        </w:rPr>
        <w:sym w:font="Symbol" w:char="F062"/>
      </w:r>
      <w:r w:rsidRPr="00814FD5">
        <w:t xml:space="preserve"> = 0.380, T = 4.567, p &lt; 0.001). The specific indirect effect demonstrates that learning motivation (LM) effectively serves as a significant mediator. This indicates that the deployment of digital comics (DCM) enhances students' technical comprehension (CC) primarily by first stimulating their learning motivation.</w:t>
      </w:r>
    </w:p>
    <w:p w14:paraId="054AC9FC" w14:textId="77777777" w:rsidR="00E316B9" w:rsidRPr="00E316B9" w:rsidRDefault="00E316B9" w:rsidP="00E316B9">
      <w:pPr>
        <w:pStyle w:val="Heading2"/>
      </w:pPr>
      <w:r w:rsidRPr="00E316B9">
        <w:t>Discussion</w:t>
      </w:r>
    </w:p>
    <w:p w14:paraId="213376DB" w14:textId="1E101CD5" w:rsidR="00E316B9" w:rsidRPr="00E316B9" w:rsidRDefault="00E316B9" w:rsidP="00E316B9">
      <w:pPr>
        <w:spacing w:before="100" w:beforeAutospacing="1" w:after="100" w:afterAutospacing="1"/>
      </w:pPr>
      <w:r w:rsidRPr="00E316B9">
        <w:t>The integration of digital comics into informatics education in this study yielded a transformative impact on both academic performance and student engagement. While the statistical analysis of pre-test and post-test scores explicitly confirms the cognitive gains and mastery of the material, the SEM provides a deeper, systemic understanding of the implicit psychological mechanics driving this improvement. Together, these analyses confirm that digital comics do not merely act as passive supplementary reading materials; rather, they function as dynamic instructional catalysts that fundamentally alter how students process, engage with, and ultimately master complex technical information.</w:t>
      </w:r>
    </w:p>
    <w:p w14:paraId="4E636CC6" w14:textId="77777777" w:rsidR="00E316B9" w:rsidRPr="00E316B9" w:rsidRDefault="00E316B9" w:rsidP="00E316B9">
      <w:pPr>
        <w:spacing w:before="100" w:beforeAutospacing="1" w:after="100" w:afterAutospacing="1"/>
      </w:pPr>
      <w:r w:rsidRPr="00E316B9">
        <w:t>The descriptive and inferential statistics from the cognitive assessments underscore a significant academic leap. Prior to the intervention, students evidently struggled with the abstract and intricate nature of computer systems and hardware components, as reflected by a pre-test mean score of 71.15 and a classical completeness rate of only 57.70%. However, following the digital comic intervention, the post-test results revealed a dramatic surge, with the mean score rising to 92.3 and classical completeness reaching 88.46%. The Paired Sample T-Test strongly validated this shift (</w:t>
      </w:r>
      <w:r w:rsidRPr="00E316B9">
        <w:rPr>
          <w:i/>
          <w:iCs/>
        </w:rPr>
        <w:t>p = 0.001</w:t>
      </w:r>
      <w:r w:rsidRPr="00E316B9">
        <w:t>). From a pedagogical perspective, this substantial cognitive improvement occurs because the visual narratives inherent in digital comics effectively reduce the students' cognitive load. By translating rigid, highly technical informatics concepts into sequential, visually digestible storylines, the comics bridge the gap between abstract computing theories and concrete understanding, enabling students who previously failed the minimum competency standard (KKM) to achieve mastery.</w:t>
      </w:r>
    </w:p>
    <w:p w14:paraId="5750D121" w14:textId="51246D10" w:rsidR="00E316B9" w:rsidRPr="00E316B9" w:rsidRDefault="00E316B9" w:rsidP="00E316B9">
      <w:pPr>
        <w:spacing w:before="100" w:beforeAutospacing="1" w:after="100" w:afterAutospacing="1"/>
      </w:pPr>
      <w:r w:rsidRPr="00E316B9">
        <w:t>While the cognitive gains are empirically evident, the SEM analysis unveils the behavioral drivers behind this success, specifically highlighting the interplay between the media itself and the pedagogical strategy. Hypotheses 1 and 2 confirmed that both comic-based learning strategies (</w:t>
      </w:r>
      <w:r w:rsidRPr="00E316B9">
        <w:rPr>
          <w:i/>
          <w:iCs/>
        </w:rPr>
        <w:t>LS, β = 0.606</w:t>
      </w:r>
      <w:r w:rsidRPr="00E316B9">
        <w:t>) and the intrinsic quality of digital comics media (</w:t>
      </w:r>
      <w:r w:rsidRPr="00E316B9">
        <w:rPr>
          <w:i/>
          <w:iCs/>
        </w:rPr>
        <w:t>DCM, β = 0.482</w:t>
      </w:r>
      <w:r w:rsidRPr="00E316B9">
        <w:t>) significantly enhance student learning motivation (LM). A critical and profound insight here is the dominance of the learning strategy over the media quality. This finding implies that high-</w:t>
      </w:r>
      <w:r w:rsidRPr="00E316B9">
        <w:lastRenderedPageBreak/>
        <w:t>quality visual aesthetics and engaging narratives (DCM) are excellent tools for capturing initial attention, but they are insufficient on their own to sustain long-term engagement. It is the structured pedagogical integration</w:t>
      </w:r>
      <w:r w:rsidR="00902B30">
        <w:t xml:space="preserve">, </w:t>
      </w:r>
      <w:r w:rsidRPr="00E316B9">
        <w:t>how the comics are actively utilized, discussed, and aligned with targeted learning objectives in the classroom (LS)</w:t>
      </w:r>
      <w:r w:rsidR="00945D6C">
        <w:t xml:space="preserve">, </w:t>
      </w:r>
      <w:r w:rsidRPr="00E316B9">
        <w:t>that truly deepens the students' intrinsic motivation.</w:t>
      </w:r>
    </w:p>
    <w:p w14:paraId="5273B9BA" w14:textId="77777777" w:rsidR="00E316B9" w:rsidRPr="00E316B9" w:rsidRDefault="00E316B9" w:rsidP="00E316B9">
      <w:pPr>
        <w:spacing w:before="100" w:beforeAutospacing="1" w:after="100" w:afterAutospacing="1"/>
      </w:pPr>
      <w:r w:rsidRPr="00E316B9">
        <w:t>Furthermore, the most crucial finding of the structural model is the role of motivation as the definitive bridge to technical mastery. Hypothesis 3 revealed the strongest path coefficient in the entire model (</w:t>
      </w:r>
      <w:r w:rsidRPr="00E316B9">
        <w:rPr>
          <w:i/>
          <w:iCs/>
        </w:rPr>
        <w:t>β = 0.789)</w:t>
      </w:r>
      <w:r w:rsidRPr="00E316B9">
        <w:t>, proving that learning motivation is a massive, direct predictor of computer comprehension (CC). This is further contextualized by the mediation analysis (H4), which confirmed that the digital comics intervention influences comprehension primarily through the stimulation of motivation (</w:t>
      </w:r>
      <w:r w:rsidRPr="00E316B9">
        <w:rPr>
          <w:i/>
          <w:iCs/>
        </w:rPr>
        <w:t>β = 0.380</w:t>
      </w:r>
      <w:r w:rsidRPr="00E316B9">
        <w:t>). In the context of informatics education, where topics often induce "technical anxiety" or apathy among students, digital comics effectively dismantle these affective barriers by fostering a low-anxiety, highly engaging learning environment. Consequently, the massive increase in the post-test scores was not a direct, automatic byproduct of merely reading a comic. Instead, it was the result of the digital comic successfully igniting a motivational drive that compelled students to actively engage with and understand the computer hardware material.</w:t>
      </w:r>
    </w:p>
    <w:p w14:paraId="7E9724A2" w14:textId="34359834" w:rsidR="00E316B9" w:rsidRPr="004515B8" w:rsidRDefault="00E316B9" w:rsidP="00E316B9">
      <w:pPr>
        <w:spacing w:before="100" w:beforeAutospacing="1" w:after="100" w:afterAutospacing="1"/>
      </w:pPr>
      <w:r w:rsidRPr="00E316B9">
        <w:t>These synthesized findings offer critical practical implications for modern informatics and vocational education. Educators and instructional designers must recognize that the development of educational technology should not over-index on visual aesthetics at the expense of pedagogical design. To successfully replicate the high classical completeness rates observed in this study, the deployment of digital comics must be deliberately paired with interactive, student-centered learning strategies. By ensuring that visual media interventions are actively framed by strong pedagogical tactics, educators can predictably cultivate the high levels of learning motivation required to help students master complex, technical computing subjects.</w:t>
      </w:r>
    </w:p>
    <w:p w14:paraId="54F6634A" w14:textId="2D45D906" w:rsidR="00436C79" w:rsidRDefault="00436C79" w:rsidP="00436C79">
      <w:pPr>
        <w:pStyle w:val="Heading1"/>
      </w:pPr>
      <w:r>
        <w:t>Conclusion</w:t>
      </w:r>
    </w:p>
    <w:p w14:paraId="4FDD59DA" w14:textId="02013BB9" w:rsidR="000249F4" w:rsidRDefault="000249F4" w:rsidP="00173826">
      <w:r w:rsidRPr="000249F4">
        <w:t xml:space="preserve">This study concludes that digital comics exert a profound and transformative influence on student motivation and material mastery within informatics education. By utilizing </w:t>
      </w:r>
      <w:r w:rsidR="00D44A77">
        <w:t>SEM</w:t>
      </w:r>
      <w:r w:rsidRPr="000249F4">
        <w:t>, the research establishes that while the visual narrative of digital comics effectively captures student interest, the structured pedagogical strategy embedded within the media is the dominant force driving intrinsic learning motivation. Furthermore, the findings solidify that this elevated motivation acts as a critical psychological mediator, successfully bridging the gap between engaging visual interventions and the actual cognitive mastery of complex computer concepts. Ultimately, strategically deployed digital comics evolve beyond mere supplementary reading, functioning as powerful instructional catalysts that systematically elevate academic performance</w:t>
      </w:r>
      <w:r>
        <w:t>.</w:t>
      </w:r>
    </w:p>
    <w:p w14:paraId="474C9456" w14:textId="50599947" w:rsidR="000249F4" w:rsidRPr="00173826" w:rsidRDefault="000249F4" w:rsidP="00173826">
      <w:r>
        <w:rPr>
          <w:rStyle w:val="citation-7"/>
          <w:rFonts w:eastAsiaTheme="majorEastAsia"/>
        </w:rPr>
        <w:t>Despite the significant findings, this study is constrained by a notable conceptual overlap between the respondents' perception of visual media quality and their perceived material mastery, reflecting a minor limitation in discriminant validity</w:t>
      </w:r>
      <w:r>
        <w:t xml:space="preserve">. </w:t>
      </w:r>
      <w:r>
        <w:rPr>
          <w:rStyle w:val="citation-6"/>
          <w:rFonts w:eastAsiaTheme="majorEastAsia"/>
        </w:rPr>
        <w:t>Additionally, the experiment was limited to a specific demographic of seventh-grade students focusing solely on computer hardware components</w:t>
      </w:r>
      <w:r>
        <w:t xml:space="preserve">. Future research should explore these structural dynamics across broader educational levels and diverse informatics topics to validate generalizability. Investigating the </w:t>
      </w:r>
      <w:r>
        <w:lastRenderedPageBreak/>
        <w:t>long-term knowledge retention facilitated by digital comics would also provide deeper insights into their sustainable educational value.</w:t>
      </w:r>
    </w:p>
    <w:p w14:paraId="70094665" w14:textId="1BB38B6D" w:rsidR="00423D9C" w:rsidRDefault="00423D9C" w:rsidP="00331D5B">
      <w:pPr>
        <w:pStyle w:val="Heading1"/>
      </w:pPr>
      <w:r>
        <w:t>References</w:t>
      </w:r>
    </w:p>
    <w:p w14:paraId="2CC71ACD" w14:textId="77777777" w:rsidR="00E07CFE" w:rsidRPr="00E07CFE" w:rsidRDefault="00BA5981" w:rsidP="00E07CFE">
      <w:pPr>
        <w:pStyle w:val="Bibliography"/>
        <w:rPr>
          <w:rFonts w:eastAsiaTheme="minorHAnsi"/>
          <w:lang w:val="en-US"/>
        </w:rPr>
      </w:pPr>
      <w:r>
        <w:fldChar w:fldCharType="begin"/>
      </w:r>
      <w:r>
        <w:instrText xml:space="preserve"> ADDIN ZOTERO_BIBL {"uncited":[],"omitted":[],"custom":[]} CSL_BIBLIOGRAPHY </w:instrText>
      </w:r>
      <w:r>
        <w:fldChar w:fldCharType="separate"/>
      </w:r>
      <w:r w:rsidR="00E07CFE" w:rsidRPr="00E07CFE">
        <w:rPr>
          <w:rFonts w:eastAsiaTheme="minorHAnsi"/>
          <w:lang w:val="en-US"/>
        </w:rPr>
        <w:t xml:space="preserve">Alfurqan, A., Tamrin, M. H., Trinova, Z., &amp; Zuhdiyah, Z. (2019). The Problematics of Islamic Religious Education Teacher </w:t>
      </w:r>
      <w:proofErr w:type="gramStart"/>
      <w:r w:rsidR="00E07CFE" w:rsidRPr="00E07CFE">
        <w:rPr>
          <w:rFonts w:eastAsiaTheme="minorHAnsi"/>
          <w:lang w:val="en-US"/>
        </w:rPr>
        <w:t>In</w:t>
      </w:r>
      <w:proofErr w:type="gramEnd"/>
      <w:r w:rsidR="00E07CFE" w:rsidRPr="00E07CFE">
        <w:rPr>
          <w:rFonts w:eastAsiaTheme="minorHAnsi"/>
          <w:lang w:val="en-US"/>
        </w:rPr>
        <w:t xml:space="preserve"> Using of Instructional Media at SD Negeri 06 Pancung Soal Pesisir Selatan. </w:t>
      </w:r>
      <w:r w:rsidR="00E07CFE" w:rsidRPr="00E07CFE">
        <w:rPr>
          <w:rFonts w:eastAsiaTheme="minorHAnsi"/>
          <w:i/>
          <w:iCs/>
          <w:lang w:val="en-US"/>
        </w:rPr>
        <w:t>AL-TA LIM</w:t>
      </w:r>
      <w:r w:rsidR="00E07CFE" w:rsidRPr="00E07CFE">
        <w:rPr>
          <w:rFonts w:eastAsiaTheme="minorHAnsi"/>
          <w:lang w:val="en-US"/>
        </w:rPr>
        <w:t xml:space="preserve">, </w:t>
      </w:r>
      <w:r w:rsidR="00E07CFE" w:rsidRPr="00E07CFE">
        <w:rPr>
          <w:rFonts w:eastAsiaTheme="minorHAnsi"/>
          <w:i/>
          <w:iCs/>
          <w:lang w:val="en-US"/>
        </w:rPr>
        <w:t>26</w:t>
      </w:r>
      <w:r w:rsidR="00E07CFE" w:rsidRPr="00E07CFE">
        <w:rPr>
          <w:rFonts w:eastAsiaTheme="minorHAnsi"/>
          <w:lang w:val="en-US"/>
        </w:rPr>
        <w:t>(1), 56–64. https://doi.org/10.15548/jt.v26i1.526</w:t>
      </w:r>
    </w:p>
    <w:p w14:paraId="6D5BFB8C" w14:textId="77777777" w:rsidR="00E07CFE" w:rsidRPr="00E07CFE" w:rsidRDefault="00E07CFE" w:rsidP="00E07CFE">
      <w:pPr>
        <w:pStyle w:val="Bibliography"/>
        <w:rPr>
          <w:rFonts w:eastAsiaTheme="minorHAnsi"/>
          <w:lang w:val="en-US"/>
        </w:rPr>
      </w:pPr>
      <w:r w:rsidRPr="00E07CFE">
        <w:rPr>
          <w:rFonts w:eastAsiaTheme="minorHAnsi"/>
          <w:lang w:val="en-US"/>
        </w:rPr>
        <w:t xml:space="preserve">Amrullah, M. K., Riwanda, A., Marsiah, M., &amp; Wilailak, W. (2024). Elevating Arabic Speaking Skills: Plotagon and Digital Comics as Catalysts for Enhanced Learning Engagement and Proficiency. </w:t>
      </w:r>
      <w:r w:rsidRPr="00E07CFE">
        <w:rPr>
          <w:rFonts w:eastAsiaTheme="minorHAnsi"/>
          <w:i/>
          <w:iCs/>
          <w:lang w:val="en-US"/>
        </w:rPr>
        <w:t>Al-Ta Rib Jurnal Ilmiah Program Studi Pendidikan Bahasa Arab IAIN Palangka Raya</w:t>
      </w:r>
      <w:r w:rsidRPr="00E07CFE">
        <w:rPr>
          <w:rFonts w:eastAsiaTheme="minorHAnsi"/>
          <w:lang w:val="en-US"/>
        </w:rPr>
        <w:t xml:space="preserve">, </w:t>
      </w:r>
      <w:r w:rsidRPr="00E07CFE">
        <w:rPr>
          <w:rFonts w:eastAsiaTheme="minorHAnsi"/>
          <w:i/>
          <w:iCs/>
          <w:lang w:val="en-US"/>
        </w:rPr>
        <w:t>12</w:t>
      </w:r>
      <w:r w:rsidRPr="00E07CFE">
        <w:rPr>
          <w:rFonts w:eastAsiaTheme="minorHAnsi"/>
          <w:lang w:val="en-US"/>
        </w:rPr>
        <w:t>(1), 17–32. https://doi.org/10.23971/altarib.v12i1.7564</w:t>
      </w:r>
    </w:p>
    <w:p w14:paraId="7CCE08DD" w14:textId="77777777" w:rsidR="00E07CFE" w:rsidRPr="00E07CFE" w:rsidRDefault="00E07CFE" w:rsidP="00E07CFE">
      <w:pPr>
        <w:pStyle w:val="Bibliography"/>
        <w:rPr>
          <w:rFonts w:eastAsiaTheme="minorHAnsi"/>
          <w:lang w:val="en-US"/>
        </w:rPr>
      </w:pPr>
      <w:r w:rsidRPr="00E07CFE">
        <w:rPr>
          <w:rFonts w:eastAsiaTheme="minorHAnsi"/>
          <w:lang w:val="en-US"/>
        </w:rPr>
        <w:t xml:space="preserve">Apostolou, D., &amp; Linardatos, G. (2023). Cognitive Load Approach to Digital Comics Creation: A Student-Centered Learning Case. </w:t>
      </w:r>
      <w:r w:rsidRPr="00E07CFE">
        <w:rPr>
          <w:rFonts w:eastAsiaTheme="minorHAnsi"/>
          <w:i/>
          <w:iCs/>
          <w:lang w:val="en-US"/>
        </w:rPr>
        <w:t>Applied Sciences</w:t>
      </w:r>
      <w:r w:rsidRPr="00E07CFE">
        <w:rPr>
          <w:rFonts w:eastAsiaTheme="minorHAnsi"/>
          <w:lang w:val="en-US"/>
        </w:rPr>
        <w:t xml:space="preserve">, </w:t>
      </w:r>
      <w:r w:rsidRPr="00E07CFE">
        <w:rPr>
          <w:rFonts w:eastAsiaTheme="minorHAnsi"/>
          <w:i/>
          <w:iCs/>
          <w:lang w:val="en-US"/>
        </w:rPr>
        <w:t>13</w:t>
      </w:r>
      <w:r w:rsidRPr="00E07CFE">
        <w:rPr>
          <w:rFonts w:eastAsiaTheme="minorHAnsi"/>
          <w:lang w:val="en-US"/>
        </w:rPr>
        <w:t>(13), 7896–7896. https://doi.org/10.3390/app13137896</w:t>
      </w:r>
    </w:p>
    <w:p w14:paraId="073712C8" w14:textId="77777777" w:rsidR="00E07CFE" w:rsidRPr="00E07CFE" w:rsidRDefault="00E07CFE" w:rsidP="00E07CFE">
      <w:pPr>
        <w:pStyle w:val="Bibliography"/>
        <w:rPr>
          <w:rFonts w:eastAsiaTheme="minorHAnsi"/>
          <w:lang w:val="en-US"/>
        </w:rPr>
      </w:pPr>
      <w:r w:rsidRPr="00E07CFE">
        <w:rPr>
          <w:rFonts w:eastAsiaTheme="minorHAnsi"/>
          <w:lang w:val="en-US"/>
        </w:rPr>
        <w:t xml:space="preserve">Belsam. (2017). Visualizing Computer Programming in a Computer-based Simulated Environment. </w:t>
      </w:r>
      <w:r w:rsidRPr="00E07CFE">
        <w:rPr>
          <w:rFonts w:eastAsiaTheme="minorHAnsi"/>
          <w:i/>
          <w:iCs/>
          <w:lang w:val="en-US"/>
        </w:rPr>
        <w:t>International Journal of Advanced Computer Science and Applications</w:t>
      </w:r>
      <w:r w:rsidRPr="00E07CFE">
        <w:rPr>
          <w:rFonts w:eastAsiaTheme="minorHAnsi"/>
          <w:lang w:val="en-US"/>
        </w:rPr>
        <w:t xml:space="preserve">, </w:t>
      </w:r>
      <w:r w:rsidRPr="00E07CFE">
        <w:rPr>
          <w:rFonts w:eastAsiaTheme="minorHAnsi"/>
          <w:i/>
          <w:iCs/>
          <w:lang w:val="en-US"/>
        </w:rPr>
        <w:t>8</w:t>
      </w:r>
      <w:r w:rsidRPr="00E07CFE">
        <w:rPr>
          <w:rFonts w:eastAsiaTheme="minorHAnsi"/>
          <w:lang w:val="en-US"/>
        </w:rPr>
        <w:t>(8). https://doi.org/10.14569/ijacsa.2017.080848</w:t>
      </w:r>
    </w:p>
    <w:p w14:paraId="66D825F2" w14:textId="77777777" w:rsidR="00E07CFE" w:rsidRPr="00E07CFE" w:rsidRDefault="00E07CFE" w:rsidP="00E07CFE">
      <w:pPr>
        <w:pStyle w:val="Bibliography"/>
        <w:rPr>
          <w:rFonts w:eastAsiaTheme="minorHAnsi"/>
          <w:lang w:val="en-US"/>
        </w:rPr>
      </w:pPr>
      <w:r w:rsidRPr="00E07CFE">
        <w:rPr>
          <w:rFonts w:eastAsiaTheme="minorHAnsi"/>
          <w:lang w:val="en-US"/>
        </w:rPr>
        <w:t>Caspersen, M. E., Gal</w:t>
      </w:r>
      <w:r w:rsidRPr="00E07CFE">
        <w:rPr>
          <w:rFonts w:ascii="Cambria Math" w:eastAsiaTheme="minorHAnsi" w:hAnsi="Cambria Math" w:cs="Cambria Math"/>
          <w:lang w:val="en-US"/>
        </w:rPr>
        <w:t>‐</w:t>
      </w:r>
      <w:r w:rsidRPr="00E07CFE">
        <w:rPr>
          <w:rFonts w:eastAsiaTheme="minorHAnsi"/>
          <w:lang w:val="en-US"/>
        </w:rPr>
        <w:t xml:space="preserve">Ezer, J., McGettrick, A., &amp; Nardelli, E. (2024). European Digital Transformation Needs Indicators of Informatics Competence. </w:t>
      </w:r>
      <w:r w:rsidRPr="00E07CFE">
        <w:rPr>
          <w:rFonts w:eastAsiaTheme="minorHAnsi"/>
          <w:i/>
          <w:iCs/>
          <w:lang w:val="en-US"/>
        </w:rPr>
        <w:t>ACM Inroads</w:t>
      </w:r>
      <w:r w:rsidRPr="00E07CFE">
        <w:rPr>
          <w:rFonts w:eastAsiaTheme="minorHAnsi"/>
          <w:lang w:val="en-US"/>
        </w:rPr>
        <w:t xml:space="preserve">, </w:t>
      </w:r>
      <w:r w:rsidRPr="00E07CFE">
        <w:rPr>
          <w:rFonts w:eastAsiaTheme="minorHAnsi"/>
          <w:i/>
          <w:iCs/>
          <w:lang w:val="en-US"/>
        </w:rPr>
        <w:t>15</w:t>
      </w:r>
      <w:r w:rsidRPr="00E07CFE">
        <w:rPr>
          <w:rFonts w:eastAsiaTheme="minorHAnsi"/>
          <w:lang w:val="en-US"/>
        </w:rPr>
        <w:t>(4), 74–81. https://doi.org/10.1145/3696791</w:t>
      </w:r>
    </w:p>
    <w:p w14:paraId="0D34A3F6" w14:textId="77777777" w:rsidR="00E07CFE" w:rsidRPr="00E07CFE" w:rsidRDefault="00E07CFE" w:rsidP="00E07CFE">
      <w:pPr>
        <w:pStyle w:val="Bibliography"/>
        <w:rPr>
          <w:rFonts w:eastAsiaTheme="minorHAnsi"/>
          <w:lang w:val="en-US"/>
        </w:rPr>
      </w:pPr>
      <w:r w:rsidRPr="00E07CFE">
        <w:rPr>
          <w:rFonts w:eastAsiaTheme="minorHAnsi"/>
          <w:lang w:val="en-US"/>
        </w:rPr>
        <w:t>Cook, T. D. (2015). Quasi</w:t>
      </w:r>
      <w:r w:rsidRPr="00E07CFE">
        <w:rPr>
          <w:rFonts w:ascii="Cambria Math" w:eastAsiaTheme="minorHAnsi" w:hAnsi="Cambria Math" w:cs="Cambria Math"/>
          <w:lang w:val="en-US"/>
        </w:rPr>
        <w:t>‐</w:t>
      </w:r>
      <w:r w:rsidRPr="00E07CFE">
        <w:rPr>
          <w:rFonts w:eastAsiaTheme="minorHAnsi"/>
          <w:lang w:val="en-US"/>
        </w:rPr>
        <w:t xml:space="preserve">Experimental Design. </w:t>
      </w:r>
      <w:r w:rsidRPr="00E07CFE">
        <w:rPr>
          <w:rFonts w:eastAsiaTheme="minorHAnsi"/>
          <w:i/>
          <w:iCs/>
          <w:lang w:val="en-US"/>
        </w:rPr>
        <w:t>Wiley Encyclopedia of Management</w:t>
      </w:r>
      <w:r w:rsidRPr="00E07CFE">
        <w:rPr>
          <w:rFonts w:eastAsiaTheme="minorHAnsi"/>
          <w:lang w:val="en-US"/>
        </w:rPr>
        <w:t>, 1–2. https://doi.org/10.1002/9781118785317.weom110227</w:t>
      </w:r>
    </w:p>
    <w:p w14:paraId="3782CF30" w14:textId="77777777" w:rsidR="00E07CFE" w:rsidRPr="00E07CFE" w:rsidRDefault="00E07CFE" w:rsidP="00E07CFE">
      <w:pPr>
        <w:pStyle w:val="Bibliography"/>
        <w:rPr>
          <w:rFonts w:eastAsiaTheme="minorHAnsi"/>
          <w:lang w:val="en-US"/>
        </w:rPr>
      </w:pPr>
      <w:r w:rsidRPr="00E07CFE">
        <w:rPr>
          <w:rFonts w:eastAsiaTheme="minorHAnsi"/>
          <w:lang w:val="en-US"/>
        </w:rPr>
        <w:t xml:space="preserve">Dewi, S., Surur, M., &amp; Jaya, F. (2025). Enhancing informatics learning through android-based interactive media: A development study with the ADDIE model. </w:t>
      </w:r>
      <w:r w:rsidRPr="00E07CFE">
        <w:rPr>
          <w:rFonts w:eastAsiaTheme="minorHAnsi"/>
          <w:i/>
          <w:iCs/>
          <w:lang w:val="en-US"/>
        </w:rPr>
        <w:t>ASATIZA Jurnal Pendidikan</w:t>
      </w:r>
      <w:r w:rsidRPr="00E07CFE">
        <w:rPr>
          <w:rFonts w:eastAsiaTheme="minorHAnsi"/>
          <w:lang w:val="en-US"/>
        </w:rPr>
        <w:t xml:space="preserve">, </w:t>
      </w:r>
      <w:r w:rsidRPr="00E07CFE">
        <w:rPr>
          <w:rFonts w:eastAsiaTheme="minorHAnsi"/>
          <w:i/>
          <w:iCs/>
          <w:lang w:val="en-US"/>
        </w:rPr>
        <w:t>6</w:t>
      </w:r>
      <w:r w:rsidRPr="00E07CFE">
        <w:rPr>
          <w:rFonts w:eastAsiaTheme="minorHAnsi"/>
          <w:lang w:val="en-US"/>
        </w:rPr>
        <w:t>(3), 234–249. https://doi.org/10.46963/asatiza.v6i3.2822</w:t>
      </w:r>
    </w:p>
    <w:p w14:paraId="30532E78" w14:textId="77777777" w:rsidR="00E07CFE" w:rsidRPr="00E07CFE" w:rsidRDefault="00E07CFE" w:rsidP="00E07CFE">
      <w:pPr>
        <w:pStyle w:val="Bibliography"/>
        <w:rPr>
          <w:rFonts w:eastAsiaTheme="minorHAnsi"/>
          <w:lang w:val="en-US"/>
        </w:rPr>
      </w:pPr>
      <w:r w:rsidRPr="00E07CFE">
        <w:rPr>
          <w:rFonts w:eastAsiaTheme="minorHAnsi"/>
          <w:lang w:val="en-US"/>
        </w:rPr>
        <w:lastRenderedPageBreak/>
        <w:t>El</w:t>
      </w:r>
      <w:r w:rsidRPr="00E07CFE">
        <w:rPr>
          <w:rFonts w:ascii="Cambria Math" w:eastAsiaTheme="minorHAnsi" w:hAnsi="Cambria Math" w:cs="Cambria Math"/>
          <w:lang w:val="en-US"/>
        </w:rPr>
        <w:t>‐</w:t>
      </w:r>
      <w:r w:rsidRPr="00E07CFE">
        <w:rPr>
          <w:rFonts w:eastAsiaTheme="minorHAnsi"/>
          <w:lang w:val="en-US"/>
        </w:rPr>
        <w:t xml:space="preserve">Sherbeeny, A. M., Alsetoohy, O., Sheikhelsouk, S., Liu, S., &amp; Kamar, M. A. (2024). Enhancing hotel employees’ well-being and safe behaviors: The influences of physical workload, mental workload, and psychological resilience. </w:t>
      </w:r>
      <w:r w:rsidRPr="00E07CFE">
        <w:rPr>
          <w:rFonts w:eastAsiaTheme="minorHAnsi"/>
          <w:i/>
          <w:iCs/>
          <w:lang w:val="en-US"/>
        </w:rPr>
        <w:t>Oeconomia Copernicana</w:t>
      </w:r>
      <w:r w:rsidRPr="00E07CFE">
        <w:rPr>
          <w:rFonts w:eastAsiaTheme="minorHAnsi"/>
          <w:lang w:val="en-US"/>
        </w:rPr>
        <w:t xml:space="preserve">, </w:t>
      </w:r>
      <w:r w:rsidRPr="00E07CFE">
        <w:rPr>
          <w:rFonts w:eastAsiaTheme="minorHAnsi"/>
          <w:i/>
          <w:iCs/>
          <w:lang w:val="en-US"/>
        </w:rPr>
        <w:t>15</w:t>
      </w:r>
      <w:r w:rsidRPr="00E07CFE">
        <w:rPr>
          <w:rFonts w:eastAsiaTheme="minorHAnsi"/>
          <w:lang w:val="en-US"/>
        </w:rPr>
        <w:t>(2), 765–807. https://doi.org/10.24136/oc.3018</w:t>
      </w:r>
    </w:p>
    <w:p w14:paraId="022A76C2" w14:textId="77777777" w:rsidR="00E07CFE" w:rsidRPr="00E07CFE" w:rsidRDefault="00E07CFE" w:rsidP="00E07CFE">
      <w:pPr>
        <w:pStyle w:val="Bibliography"/>
        <w:rPr>
          <w:rFonts w:eastAsiaTheme="minorHAnsi"/>
          <w:lang w:val="en-US"/>
        </w:rPr>
      </w:pPr>
      <w:r w:rsidRPr="00E07CFE">
        <w:rPr>
          <w:rFonts w:eastAsiaTheme="minorHAnsi"/>
          <w:lang w:val="en-US"/>
        </w:rPr>
        <w:t>Granero</w:t>
      </w:r>
      <w:r w:rsidRPr="00E07CFE">
        <w:rPr>
          <w:rFonts w:ascii="Cambria Math" w:eastAsiaTheme="minorHAnsi" w:hAnsi="Cambria Math" w:cs="Cambria Math"/>
          <w:lang w:val="en-US"/>
        </w:rPr>
        <w:t>‐</w:t>
      </w:r>
      <w:r w:rsidRPr="00E07CFE">
        <w:rPr>
          <w:rFonts w:eastAsiaTheme="minorHAnsi"/>
          <w:lang w:val="en-US"/>
        </w:rPr>
        <w:t xml:space="preserve">Molina, J., &amp; Cadorna, E. A. (2025). Enhancing Filipino Students’ Learning Outcomes in Physics Using Comic-Based Learning Materials. </w:t>
      </w:r>
      <w:r w:rsidRPr="00E07CFE">
        <w:rPr>
          <w:rFonts w:eastAsiaTheme="minorHAnsi"/>
          <w:i/>
          <w:iCs/>
          <w:lang w:val="en-US"/>
        </w:rPr>
        <w:t>International Journal of Learning Teaching and Educational Research</w:t>
      </w:r>
      <w:r w:rsidRPr="00E07CFE">
        <w:rPr>
          <w:rFonts w:eastAsiaTheme="minorHAnsi"/>
          <w:lang w:val="en-US"/>
        </w:rPr>
        <w:t xml:space="preserve">, </w:t>
      </w:r>
      <w:r w:rsidRPr="00E07CFE">
        <w:rPr>
          <w:rFonts w:eastAsiaTheme="minorHAnsi"/>
          <w:i/>
          <w:iCs/>
          <w:lang w:val="en-US"/>
        </w:rPr>
        <w:t>24</w:t>
      </w:r>
      <w:r w:rsidRPr="00E07CFE">
        <w:rPr>
          <w:rFonts w:eastAsiaTheme="minorHAnsi"/>
          <w:lang w:val="en-US"/>
        </w:rPr>
        <w:t>(11), 185–204. https://doi.org/10.26803/ijlter.24.11.9</w:t>
      </w:r>
    </w:p>
    <w:p w14:paraId="321A96B1" w14:textId="77777777" w:rsidR="00E07CFE" w:rsidRPr="00E07CFE" w:rsidRDefault="00E07CFE" w:rsidP="00E07CFE">
      <w:pPr>
        <w:pStyle w:val="Bibliography"/>
        <w:rPr>
          <w:rFonts w:eastAsiaTheme="minorHAnsi"/>
          <w:lang w:val="en-US"/>
        </w:rPr>
      </w:pPr>
      <w:r w:rsidRPr="00E07CFE">
        <w:rPr>
          <w:rFonts w:eastAsiaTheme="minorHAnsi"/>
          <w:lang w:val="en-US"/>
        </w:rPr>
        <w:t xml:space="preserve">Hair, J. F., Risher, J. J., Sarstedt, M., &amp; Ringle, C. M. (2019). When to use and how to report the results of PLS-SEM. </w:t>
      </w:r>
      <w:r w:rsidRPr="00E07CFE">
        <w:rPr>
          <w:rFonts w:eastAsiaTheme="minorHAnsi"/>
          <w:i/>
          <w:iCs/>
          <w:lang w:val="en-US"/>
        </w:rPr>
        <w:t>European Business Review</w:t>
      </w:r>
      <w:r w:rsidRPr="00E07CFE">
        <w:rPr>
          <w:rFonts w:eastAsiaTheme="minorHAnsi"/>
          <w:lang w:val="en-US"/>
        </w:rPr>
        <w:t xml:space="preserve">, </w:t>
      </w:r>
      <w:r w:rsidRPr="00E07CFE">
        <w:rPr>
          <w:rFonts w:eastAsiaTheme="minorHAnsi"/>
          <w:i/>
          <w:iCs/>
          <w:lang w:val="en-US"/>
        </w:rPr>
        <w:t>31</w:t>
      </w:r>
      <w:r w:rsidRPr="00E07CFE">
        <w:rPr>
          <w:rFonts w:eastAsiaTheme="minorHAnsi"/>
          <w:lang w:val="en-US"/>
        </w:rPr>
        <w:t>(1), 2–24.</w:t>
      </w:r>
    </w:p>
    <w:p w14:paraId="4113D035" w14:textId="77777777" w:rsidR="00E07CFE" w:rsidRPr="00E07CFE" w:rsidRDefault="00E07CFE" w:rsidP="00E07CFE">
      <w:pPr>
        <w:pStyle w:val="Bibliography"/>
        <w:rPr>
          <w:rFonts w:eastAsiaTheme="minorHAnsi"/>
          <w:lang w:val="en-US"/>
        </w:rPr>
      </w:pPr>
      <w:r w:rsidRPr="00E07CFE">
        <w:rPr>
          <w:rFonts w:eastAsiaTheme="minorHAnsi"/>
          <w:lang w:val="en-US"/>
        </w:rPr>
        <w:t xml:space="preserve">Henseler, J., Ringle, C. M., &amp; Sarstedt, M. (2015). A new criterion for assessing discriminant validity in variance-based structural equation modeling. </w:t>
      </w:r>
      <w:r w:rsidRPr="00E07CFE">
        <w:rPr>
          <w:rFonts w:eastAsiaTheme="minorHAnsi"/>
          <w:i/>
          <w:iCs/>
          <w:lang w:val="en-US"/>
        </w:rPr>
        <w:t>Journal of the Academy of Marketing Science</w:t>
      </w:r>
      <w:r w:rsidRPr="00E07CFE">
        <w:rPr>
          <w:rFonts w:eastAsiaTheme="minorHAnsi"/>
          <w:lang w:val="en-US"/>
        </w:rPr>
        <w:t xml:space="preserve">, </w:t>
      </w:r>
      <w:r w:rsidRPr="00E07CFE">
        <w:rPr>
          <w:rFonts w:eastAsiaTheme="minorHAnsi"/>
          <w:i/>
          <w:iCs/>
          <w:lang w:val="en-US"/>
        </w:rPr>
        <w:t>43</w:t>
      </w:r>
      <w:r w:rsidRPr="00E07CFE">
        <w:rPr>
          <w:rFonts w:eastAsiaTheme="minorHAnsi"/>
          <w:lang w:val="en-US"/>
        </w:rPr>
        <w:t>(1), 115–135.</w:t>
      </w:r>
    </w:p>
    <w:p w14:paraId="30274BCF" w14:textId="77777777" w:rsidR="00E07CFE" w:rsidRPr="00E07CFE" w:rsidRDefault="00E07CFE" w:rsidP="00E07CFE">
      <w:pPr>
        <w:pStyle w:val="Bibliography"/>
        <w:rPr>
          <w:rFonts w:eastAsiaTheme="minorHAnsi"/>
          <w:lang w:val="en-US"/>
        </w:rPr>
      </w:pPr>
      <w:r w:rsidRPr="00E07CFE">
        <w:rPr>
          <w:rFonts w:eastAsiaTheme="minorHAnsi"/>
          <w:lang w:val="en-US"/>
        </w:rPr>
        <w:t xml:space="preserve">Huang, Y., Rahman, A., &amp; Yahaya, M. F. bin. (2024). Applying Comics as Learning Tools: A Thematic Review. </w:t>
      </w:r>
      <w:r w:rsidRPr="00E07CFE">
        <w:rPr>
          <w:rFonts w:eastAsiaTheme="minorHAnsi"/>
          <w:i/>
          <w:iCs/>
          <w:lang w:val="en-US"/>
        </w:rPr>
        <w:t>International Journal of Academic Research in Progressive Education and Development</w:t>
      </w:r>
      <w:r w:rsidRPr="00E07CFE">
        <w:rPr>
          <w:rFonts w:eastAsiaTheme="minorHAnsi"/>
          <w:lang w:val="en-US"/>
        </w:rPr>
        <w:t xml:space="preserve">, </w:t>
      </w:r>
      <w:r w:rsidRPr="00E07CFE">
        <w:rPr>
          <w:rFonts w:eastAsiaTheme="minorHAnsi"/>
          <w:i/>
          <w:iCs/>
          <w:lang w:val="en-US"/>
        </w:rPr>
        <w:t>13</w:t>
      </w:r>
      <w:r w:rsidRPr="00E07CFE">
        <w:rPr>
          <w:rFonts w:eastAsiaTheme="minorHAnsi"/>
          <w:lang w:val="en-US"/>
        </w:rPr>
        <w:t>(3). https://doi.org/10.6007/ijarped/v13-i3/22072</w:t>
      </w:r>
    </w:p>
    <w:p w14:paraId="6E9413C5" w14:textId="77777777" w:rsidR="00E07CFE" w:rsidRPr="00E07CFE" w:rsidRDefault="00E07CFE" w:rsidP="00E07CFE">
      <w:pPr>
        <w:pStyle w:val="Bibliography"/>
        <w:rPr>
          <w:rFonts w:eastAsiaTheme="minorHAnsi"/>
          <w:lang w:val="en-US"/>
        </w:rPr>
      </w:pPr>
      <w:r w:rsidRPr="00E07CFE">
        <w:rPr>
          <w:rFonts w:eastAsiaTheme="minorHAnsi"/>
          <w:lang w:val="en-US"/>
        </w:rPr>
        <w:t xml:space="preserve">Julita, R., &amp; Isna, N. (2025). The Use </w:t>
      </w:r>
      <w:proofErr w:type="gramStart"/>
      <w:r w:rsidRPr="00E07CFE">
        <w:rPr>
          <w:rFonts w:eastAsiaTheme="minorHAnsi"/>
          <w:lang w:val="en-US"/>
        </w:rPr>
        <w:t>Of</w:t>
      </w:r>
      <w:proofErr w:type="gramEnd"/>
      <w:r w:rsidRPr="00E07CFE">
        <w:rPr>
          <w:rFonts w:eastAsiaTheme="minorHAnsi"/>
          <w:lang w:val="en-US"/>
        </w:rPr>
        <w:t xml:space="preserve"> English Animated Videos </w:t>
      </w:r>
      <w:proofErr w:type="gramStart"/>
      <w:r w:rsidRPr="00E07CFE">
        <w:rPr>
          <w:rFonts w:eastAsiaTheme="minorHAnsi"/>
          <w:lang w:val="en-US"/>
        </w:rPr>
        <w:t>To</w:t>
      </w:r>
      <w:proofErr w:type="gramEnd"/>
      <w:r w:rsidRPr="00E07CFE">
        <w:rPr>
          <w:rFonts w:eastAsiaTheme="minorHAnsi"/>
          <w:lang w:val="en-US"/>
        </w:rPr>
        <w:t xml:space="preserve"> Improve Students’ Motivation. </w:t>
      </w:r>
      <w:r w:rsidRPr="00E07CFE">
        <w:rPr>
          <w:rFonts w:eastAsiaTheme="minorHAnsi"/>
          <w:i/>
          <w:iCs/>
          <w:lang w:val="en-US"/>
        </w:rPr>
        <w:t>Educatio</w:t>
      </w:r>
      <w:r w:rsidRPr="00E07CFE">
        <w:rPr>
          <w:rFonts w:eastAsiaTheme="minorHAnsi"/>
          <w:lang w:val="en-US"/>
        </w:rPr>
        <w:t xml:space="preserve">, </w:t>
      </w:r>
      <w:r w:rsidRPr="00E07CFE">
        <w:rPr>
          <w:rFonts w:eastAsiaTheme="minorHAnsi"/>
          <w:i/>
          <w:iCs/>
          <w:lang w:val="en-US"/>
        </w:rPr>
        <w:t>20</w:t>
      </w:r>
      <w:r w:rsidRPr="00E07CFE">
        <w:rPr>
          <w:rFonts w:eastAsiaTheme="minorHAnsi"/>
          <w:lang w:val="en-US"/>
        </w:rPr>
        <w:t>(2), 387–398. https://doi.org/10.29408/edc.v20i2.31866</w:t>
      </w:r>
    </w:p>
    <w:p w14:paraId="41C76906" w14:textId="77777777" w:rsidR="00E07CFE" w:rsidRPr="00E07CFE" w:rsidRDefault="00E07CFE" w:rsidP="00E07CFE">
      <w:pPr>
        <w:pStyle w:val="Bibliography"/>
        <w:rPr>
          <w:rFonts w:eastAsiaTheme="minorHAnsi"/>
          <w:lang w:val="en-US"/>
        </w:rPr>
      </w:pPr>
      <w:r w:rsidRPr="00E07CFE">
        <w:rPr>
          <w:rFonts w:eastAsiaTheme="minorHAnsi"/>
          <w:lang w:val="en-US"/>
        </w:rPr>
        <w:t xml:space="preserve">Khoiri, N., Lilyani, F. S. T., &amp; Wijayanto, W. (2024). E-comic as a media to build an understanding of newtons concepts. </w:t>
      </w:r>
      <w:r w:rsidRPr="00E07CFE">
        <w:rPr>
          <w:rFonts w:eastAsiaTheme="minorHAnsi"/>
          <w:i/>
          <w:iCs/>
          <w:lang w:val="en-US"/>
        </w:rPr>
        <w:t>Momentum Physics Education Journal</w:t>
      </w:r>
      <w:r w:rsidRPr="00E07CFE">
        <w:rPr>
          <w:rFonts w:eastAsiaTheme="minorHAnsi"/>
          <w:lang w:val="en-US"/>
        </w:rPr>
        <w:t xml:space="preserve">, </w:t>
      </w:r>
      <w:r w:rsidRPr="00E07CFE">
        <w:rPr>
          <w:rFonts w:eastAsiaTheme="minorHAnsi"/>
          <w:i/>
          <w:iCs/>
          <w:lang w:val="en-US"/>
        </w:rPr>
        <w:t>8</w:t>
      </w:r>
      <w:r w:rsidRPr="00E07CFE">
        <w:rPr>
          <w:rFonts w:eastAsiaTheme="minorHAnsi"/>
          <w:lang w:val="en-US"/>
        </w:rPr>
        <w:t>(1), 154–165. https://doi.org/10.21067/mpej.v8i1.8478</w:t>
      </w:r>
    </w:p>
    <w:p w14:paraId="1A14D9C8" w14:textId="77777777" w:rsidR="00E07CFE" w:rsidRPr="00E07CFE" w:rsidRDefault="00E07CFE" w:rsidP="00E07CFE">
      <w:pPr>
        <w:pStyle w:val="Bibliography"/>
        <w:rPr>
          <w:rFonts w:eastAsiaTheme="minorHAnsi"/>
          <w:lang w:val="en-US"/>
        </w:rPr>
      </w:pPr>
      <w:r w:rsidRPr="00E07CFE">
        <w:rPr>
          <w:rFonts w:eastAsiaTheme="minorHAnsi"/>
          <w:lang w:val="en-US"/>
        </w:rPr>
        <w:t xml:space="preserve">Kogila, M., Ibrahim, A. B., &amp; Zulkifli, C. Z. (2020). A Powerful of Digital Storytelling to Support Education and Key Elements from Various Experts. </w:t>
      </w:r>
      <w:r w:rsidRPr="00E07CFE">
        <w:rPr>
          <w:rFonts w:eastAsiaTheme="minorHAnsi"/>
          <w:i/>
          <w:iCs/>
          <w:lang w:val="en-US"/>
        </w:rPr>
        <w:t xml:space="preserve">International Journal of </w:t>
      </w:r>
      <w:r w:rsidRPr="00E07CFE">
        <w:rPr>
          <w:rFonts w:eastAsiaTheme="minorHAnsi"/>
          <w:i/>
          <w:iCs/>
          <w:lang w:val="en-US"/>
        </w:rPr>
        <w:lastRenderedPageBreak/>
        <w:t>Academic Research in Progressive Education and Development</w:t>
      </w:r>
      <w:r w:rsidRPr="00E07CFE">
        <w:rPr>
          <w:rFonts w:eastAsiaTheme="minorHAnsi"/>
          <w:lang w:val="en-US"/>
        </w:rPr>
        <w:t xml:space="preserve">, </w:t>
      </w:r>
      <w:r w:rsidRPr="00E07CFE">
        <w:rPr>
          <w:rFonts w:eastAsiaTheme="minorHAnsi"/>
          <w:i/>
          <w:iCs/>
          <w:lang w:val="en-US"/>
        </w:rPr>
        <w:t>9</w:t>
      </w:r>
      <w:r w:rsidRPr="00E07CFE">
        <w:rPr>
          <w:rFonts w:eastAsiaTheme="minorHAnsi"/>
          <w:lang w:val="en-US"/>
        </w:rPr>
        <w:t>(2). https://doi.org/10.6007/ijarped/v9-i2/7483</w:t>
      </w:r>
    </w:p>
    <w:p w14:paraId="2CF395E3" w14:textId="77777777" w:rsidR="00E07CFE" w:rsidRPr="00E07CFE" w:rsidRDefault="00E07CFE" w:rsidP="00E07CFE">
      <w:pPr>
        <w:pStyle w:val="Bibliography"/>
        <w:rPr>
          <w:rFonts w:eastAsiaTheme="minorHAnsi"/>
          <w:lang w:val="en-US"/>
        </w:rPr>
      </w:pPr>
      <w:r w:rsidRPr="00E07CFE">
        <w:rPr>
          <w:rFonts w:eastAsiaTheme="minorHAnsi"/>
          <w:lang w:val="en-US"/>
        </w:rPr>
        <w:t xml:space="preserve">Laksana, S. D., Ariyanto, A., Tajab, Moh., Syam, A. R., &amp; Sumaryanti, L. (2024). Comic Strip Media Assisted by Digital Gamification: Increasing Student Behavior Targets and User Engagement in the Learning Process. </w:t>
      </w:r>
      <w:r w:rsidRPr="00E07CFE">
        <w:rPr>
          <w:rFonts w:eastAsiaTheme="minorHAnsi"/>
          <w:i/>
          <w:iCs/>
          <w:lang w:val="en-US"/>
        </w:rPr>
        <w:t>E3S Web of Conferences</w:t>
      </w:r>
      <w:r w:rsidRPr="00E07CFE">
        <w:rPr>
          <w:rFonts w:eastAsiaTheme="minorHAnsi"/>
          <w:lang w:val="en-US"/>
        </w:rPr>
        <w:t xml:space="preserve">, </w:t>
      </w:r>
      <w:r w:rsidRPr="00E07CFE">
        <w:rPr>
          <w:rFonts w:eastAsiaTheme="minorHAnsi"/>
          <w:i/>
          <w:iCs/>
          <w:lang w:val="en-US"/>
        </w:rPr>
        <w:t>500</w:t>
      </w:r>
      <w:r w:rsidRPr="00E07CFE">
        <w:rPr>
          <w:rFonts w:eastAsiaTheme="minorHAnsi"/>
          <w:lang w:val="en-US"/>
        </w:rPr>
        <w:t>, 5006–5006. https://doi.org/10.1051/e3sconf/202450005006</w:t>
      </w:r>
    </w:p>
    <w:p w14:paraId="17CA0334" w14:textId="77777777" w:rsidR="00E07CFE" w:rsidRPr="00E07CFE" w:rsidRDefault="00E07CFE" w:rsidP="00E07CFE">
      <w:pPr>
        <w:pStyle w:val="Bibliography"/>
        <w:rPr>
          <w:rFonts w:eastAsiaTheme="minorHAnsi"/>
          <w:lang w:val="en-US"/>
        </w:rPr>
      </w:pPr>
      <w:r w:rsidRPr="00E07CFE">
        <w:rPr>
          <w:rFonts w:eastAsiaTheme="minorHAnsi"/>
          <w:lang w:val="en-US"/>
        </w:rPr>
        <w:t xml:space="preserve">Lesmono, A. D., Bachtiar, R. W., Maryani, M., &amp; Muzdalifah, A. (2018). The Instructional-Based Andro-Web Comics on Work and Energy Topic for Senior High School Students. </w:t>
      </w:r>
      <w:r w:rsidRPr="00E07CFE">
        <w:rPr>
          <w:rFonts w:eastAsiaTheme="minorHAnsi"/>
          <w:i/>
          <w:iCs/>
          <w:lang w:val="en-US"/>
        </w:rPr>
        <w:t>Jurnal Pendidikan IPA Indonesia</w:t>
      </w:r>
      <w:r w:rsidRPr="00E07CFE">
        <w:rPr>
          <w:rFonts w:eastAsiaTheme="minorHAnsi"/>
          <w:lang w:val="en-US"/>
        </w:rPr>
        <w:t xml:space="preserve">, </w:t>
      </w:r>
      <w:r w:rsidRPr="00E07CFE">
        <w:rPr>
          <w:rFonts w:eastAsiaTheme="minorHAnsi"/>
          <w:i/>
          <w:iCs/>
          <w:lang w:val="en-US"/>
        </w:rPr>
        <w:t>7</w:t>
      </w:r>
      <w:r w:rsidRPr="00E07CFE">
        <w:rPr>
          <w:rFonts w:eastAsiaTheme="minorHAnsi"/>
          <w:lang w:val="en-US"/>
        </w:rPr>
        <w:t>(2), 147–153. https://doi.org/10.15294/jpii.v7i2.14245</w:t>
      </w:r>
    </w:p>
    <w:p w14:paraId="3BE99E49" w14:textId="77777777" w:rsidR="00E07CFE" w:rsidRPr="00E07CFE" w:rsidRDefault="00E07CFE" w:rsidP="00E07CFE">
      <w:pPr>
        <w:pStyle w:val="Bibliography"/>
        <w:rPr>
          <w:rFonts w:eastAsiaTheme="minorHAnsi"/>
          <w:lang w:val="en-US"/>
        </w:rPr>
      </w:pPr>
      <w:r w:rsidRPr="00E07CFE">
        <w:rPr>
          <w:rFonts w:eastAsiaTheme="minorHAnsi"/>
          <w:lang w:val="en-US"/>
        </w:rPr>
        <w:t xml:space="preserve">Lu, K., Yang, H. H., Shi, Y., &amp; Wang, X. (2021). Examining the key influencing factors on college students’ higher-order thinking skills in the smart classroom environment. </w:t>
      </w:r>
      <w:r w:rsidRPr="00E07CFE">
        <w:rPr>
          <w:rFonts w:eastAsiaTheme="minorHAnsi"/>
          <w:i/>
          <w:iCs/>
          <w:lang w:val="en-US"/>
        </w:rPr>
        <w:t>International Journal of Educational Technology in Higher Education</w:t>
      </w:r>
      <w:r w:rsidRPr="00E07CFE">
        <w:rPr>
          <w:rFonts w:eastAsiaTheme="minorHAnsi"/>
          <w:lang w:val="en-US"/>
        </w:rPr>
        <w:t xml:space="preserve">, </w:t>
      </w:r>
      <w:r w:rsidRPr="00E07CFE">
        <w:rPr>
          <w:rFonts w:eastAsiaTheme="minorHAnsi"/>
          <w:i/>
          <w:iCs/>
          <w:lang w:val="en-US"/>
        </w:rPr>
        <w:t>18</w:t>
      </w:r>
      <w:r w:rsidRPr="00E07CFE">
        <w:rPr>
          <w:rFonts w:eastAsiaTheme="minorHAnsi"/>
          <w:lang w:val="en-US"/>
        </w:rPr>
        <w:t>(1). https://doi.org/10.1186/s41239-020-00238-7</w:t>
      </w:r>
    </w:p>
    <w:p w14:paraId="0C6A196F" w14:textId="77777777" w:rsidR="00E07CFE" w:rsidRPr="00E07CFE" w:rsidRDefault="00E07CFE" w:rsidP="00E07CFE">
      <w:pPr>
        <w:pStyle w:val="Bibliography"/>
        <w:rPr>
          <w:rFonts w:eastAsiaTheme="minorHAnsi"/>
          <w:lang w:val="en-US"/>
        </w:rPr>
      </w:pPr>
      <w:r w:rsidRPr="00E07CFE">
        <w:rPr>
          <w:rFonts w:eastAsiaTheme="minorHAnsi"/>
          <w:lang w:val="en-US"/>
        </w:rPr>
        <w:t xml:space="preserve">Mamolo, L. A. (2022). Students’ evaluation and learning experience on the utilization of Digital Interactive Math Comics (DIMaC) mobile app. </w:t>
      </w:r>
      <w:r w:rsidRPr="00E07CFE">
        <w:rPr>
          <w:rFonts w:eastAsiaTheme="minorHAnsi"/>
          <w:i/>
          <w:iCs/>
          <w:lang w:val="en-US"/>
        </w:rPr>
        <w:t>Advances in Mobile Learning Educational Research</w:t>
      </w:r>
      <w:r w:rsidRPr="00E07CFE">
        <w:rPr>
          <w:rFonts w:eastAsiaTheme="minorHAnsi"/>
          <w:lang w:val="en-US"/>
        </w:rPr>
        <w:t xml:space="preserve">, </w:t>
      </w:r>
      <w:r w:rsidRPr="00E07CFE">
        <w:rPr>
          <w:rFonts w:eastAsiaTheme="minorHAnsi"/>
          <w:i/>
          <w:iCs/>
          <w:lang w:val="en-US"/>
        </w:rPr>
        <w:t>2</w:t>
      </w:r>
      <w:r w:rsidRPr="00E07CFE">
        <w:rPr>
          <w:rFonts w:eastAsiaTheme="minorHAnsi"/>
          <w:lang w:val="en-US"/>
        </w:rPr>
        <w:t>(2), 375–388. https://doi.org/10.25082/amler.2022.02.006</w:t>
      </w:r>
    </w:p>
    <w:p w14:paraId="5D5E72AA" w14:textId="77777777" w:rsidR="00E07CFE" w:rsidRPr="00E07CFE" w:rsidRDefault="00E07CFE" w:rsidP="00E07CFE">
      <w:pPr>
        <w:pStyle w:val="Bibliography"/>
        <w:rPr>
          <w:rFonts w:eastAsiaTheme="minorHAnsi"/>
          <w:lang w:val="en-US"/>
        </w:rPr>
      </w:pPr>
      <w:r w:rsidRPr="00E07CFE">
        <w:rPr>
          <w:rFonts w:eastAsiaTheme="minorHAnsi"/>
          <w:lang w:val="en-US"/>
        </w:rPr>
        <w:t xml:space="preserve">Nafala, N. M. (2022). IMPLEMENTASI MEDIA KOMIK DALAM PEMBELAJARAN UNTUK MENINGKATKAN MOTIVASI BELAJAR SISWA. </w:t>
      </w:r>
      <w:r w:rsidRPr="00E07CFE">
        <w:rPr>
          <w:rFonts w:eastAsiaTheme="minorHAnsi"/>
          <w:i/>
          <w:iCs/>
          <w:lang w:val="en-US"/>
        </w:rPr>
        <w:t>Al-Fikru Jurnal Pendidikan Dan Sains</w:t>
      </w:r>
      <w:r w:rsidRPr="00E07CFE">
        <w:rPr>
          <w:rFonts w:eastAsiaTheme="minorHAnsi"/>
          <w:lang w:val="en-US"/>
        </w:rPr>
        <w:t xml:space="preserve">, </w:t>
      </w:r>
      <w:r w:rsidRPr="00E07CFE">
        <w:rPr>
          <w:rFonts w:eastAsiaTheme="minorHAnsi"/>
          <w:i/>
          <w:iCs/>
          <w:lang w:val="en-US"/>
        </w:rPr>
        <w:t>3</w:t>
      </w:r>
      <w:r w:rsidRPr="00E07CFE">
        <w:rPr>
          <w:rFonts w:eastAsiaTheme="minorHAnsi"/>
          <w:lang w:val="en-US"/>
        </w:rPr>
        <w:t>(1), 114–130. https://doi.org/10.55210/al-fikru.v3i1.571</w:t>
      </w:r>
    </w:p>
    <w:p w14:paraId="0B61DE92" w14:textId="77777777" w:rsidR="00E07CFE" w:rsidRPr="00E07CFE" w:rsidRDefault="00E07CFE" w:rsidP="00E07CFE">
      <w:pPr>
        <w:pStyle w:val="Bibliography"/>
        <w:rPr>
          <w:rFonts w:eastAsiaTheme="minorHAnsi"/>
          <w:lang w:val="en-US"/>
        </w:rPr>
      </w:pPr>
      <w:r w:rsidRPr="00E07CFE">
        <w:rPr>
          <w:rFonts w:eastAsiaTheme="minorHAnsi"/>
          <w:lang w:val="en-US"/>
        </w:rPr>
        <w:t xml:space="preserve">Natsir, T., Rasyid, A., &amp; Bassey, S. A. (2023). The SAVI Learning Model and the 21st Century Skills: Developing Critical Thinking, Collaboration, and Creativity in Students </w:t>
      </w:r>
      <w:r w:rsidRPr="00E07CFE">
        <w:rPr>
          <w:rFonts w:eastAsiaTheme="minorHAnsi"/>
          <w:lang w:val="en-US"/>
        </w:rPr>
        <w:lastRenderedPageBreak/>
        <w:t xml:space="preserve">Vocational High School. </w:t>
      </w:r>
      <w:r w:rsidRPr="00E07CFE">
        <w:rPr>
          <w:rFonts w:eastAsiaTheme="minorHAnsi"/>
          <w:i/>
          <w:iCs/>
          <w:lang w:val="en-US"/>
        </w:rPr>
        <w:t>International Journal of Environment Engineering and Education</w:t>
      </w:r>
      <w:r w:rsidRPr="00E07CFE">
        <w:rPr>
          <w:rFonts w:eastAsiaTheme="minorHAnsi"/>
          <w:lang w:val="en-US"/>
        </w:rPr>
        <w:t xml:space="preserve">, </w:t>
      </w:r>
      <w:r w:rsidRPr="00E07CFE">
        <w:rPr>
          <w:rFonts w:eastAsiaTheme="minorHAnsi"/>
          <w:i/>
          <w:iCs/>
          <w:lang w:val="en-US"/>
        </w:rPr>
        <w:t>5</w:t>
      </w:r>
      <w:r w:rsidRPr="00E07CFE">
        <w:rPr>
          <w:rFonts w:eastAsiaTheme="minorHAnsi"/>
          <w:lang w:val="en-US"/>
        </w:rPr>
        <w:t>(1), 27–34. https://doi.org/10.55151/ijeedu.v5i1.96</w:t>
      </w:r>
    </w:p>
    <w:p w14:paraId="44A42F5A" w14:textId="77777777" w:rsidR="00E07CFE" w:rsidRPr="00E07CFE" w:rsidRDefault="00E07CFE" w:rsidP="00E07CFE">
      <w:pPr>
        <w:pStyle w:val="Bibliography"/>
        <w:rPr>
          <w:rFonts w:eastAsiaTheme="minorHAnsi"/>
          <w:lang w:val="en-US"/>
        </w:rPr>
      </w:pPr>
      <w:r w:rsidRPr="00E07CFE">
        <w:rPr>
          <w:rFonts w:eastAsiaTheme="minorHAnsi"/>
          <w:lang w:val="en-US"/>
        </w:rPr>
        <w:t xml:space="preserve">O’Brien, H. L., &amp; Toms, E. G. (2008). What is user engagement? A conceptual framework for defining user engagement with technology. </w:t>
      </w:r>
      <w:r w:rsidRPr="00E07CFE">
        <w:rPr>
          <w:rFonts w:eastAsiaTheme="minorHAnsi"/>
          <w:i/>
          <w:iCs/>
          <w:lang w:val="en-US"/>
        </w:rPr>
        <w:t>Journal of the American Society for Information Science and Technology</w:t>
      </w:r>
      <w:r w:rsidRPr="00E07CFE">
        <w:rPr>
          <w:rFonts w:eastAsiaTheme="minorHAnsi"/>
          <w:lang w:val="en-US"/>
        </w:rPr>
        <w:t xml:space="preserve">, </w:t>
      </w:r>
      <w:r w:rsidRPr="00E07CFE">
        <w:rPr>
          <w:rFonts w:eastAsiaTheme="minorHAnsi"/>
          <w:i/>
          <w:iCs/>
          <w:lang w:val="en-US"/>
        </w:rPr>
        <w:t>59</w:t>
      </w:r>
      <w:r w:rsidRPr="00E07CFE">
        <w:rPr>
          <w:rFonts w:eastAsiaTheme="minorHAnsi"/>
          <w:lang w:val="en-US"/>
        </w:rPr>
        <w:t>(6), 938–955. https://doi.org/10.1002/asi.20801</w:t>
      </w:r>
    </w:p>
    <w:p w14:paraId="69B95EE4" w14:textId="77777777" w:rsidR="00E07CFE" w:rsidRPr="00E07CFE" w:rsidRDefault="00E07CFE" w:rsidP="00E07CFE">
      <w:pPr>
        <w:pStyle w:val="Bibliography"/>
        <w:rPr>
          <w:rFonts w:eastAsiaTheme="minorHAnsi"/>
          <w:lang w:val="en-US"/>
        </w:rPr>
      </w:pPr>
      <w:r w:rsidRPr="00E07CFE">
        <w:rPr>
          <w:rFonts w:eastAsiaTheme="minorHAnsi"/>
          <w:lang w:val="en-US"/>
        </w:rPr>
        <w:t xml:space="preserve">Osman, I., Taib, N. M., Yazid, Z. A., Daud, S., &amp; Othman, M. Z. (2024). Exploring the Usability and Engagement of Students in an Educational Board Game on Personal Financial Planning. </w:t>
      </w:r>
      <w:r w:rsidRPr="00E07CFE">
        <w:rPr>
          <w:rFonts w:eastAsiaTheme="minorHAnsi"/>
          <w:i/>
          <w:iCs/>
          <w:lang w:val="en-US"/>
        </w:rPr>
        <w:t>Information Management and Business Review</w:t>
      </w:r>
      <w:r w:rsidRPr="00E07CFE">
        <w:rPr>
          <w:rFonts w:eastAsiaTheme="minorHAnsi"/>
          <w:lang w:val="en-US"/>
        </w:rPr>
        <w:t xml:space="preserve">, </w:t>
      </w:r>
      <w:r w:rsidRPr="00E07CFE">
        <w:rPr>
          <w:rFonts w:eastAsiaTheme="minorHAnsi"/>
          <w:i/>
          <w:iCs/>
          <w:lang w:val="en-US"/>
        </w:rPr>
        <w:t>16</w:t>
      </w:r>
      <w:r w:rsidRPr="00E07CFE">
        <w:rPr>
          <w:rFonts w:eastAsiaTheme="minorHAnsi"/>
          <w:lang w:val="en-US"/>
        </w:rPr>
        <w:t>, 76–85. https://doi.org/10.22610/imbr.v16i1(i).3662</w:t>
      </w:r>
    </w:p>
    <w:p w14:paraId="077A50CF" w14:textId="77777777" w:rsidR="00E07CFE" w:rsidRPr="00E07CFE" w:rsidRDefault="00E07CFE" w:rsidP="00E07CFE">
      <w:pPr>
        <w:pStyle w:val="Bibliography"/>
        <w:rPr>
          <w:rFonts w:eastAsiaTheme="minorHAnsi"/>
          <w:lang w:val="en-US"/>
        </w:rPr>
      </w:pPr>
      <w:r w:rsidRPr="00E07CFE">
        <w:rPr>
          <w:rFonts w:eastAsiaTheme="minorHAnsi"/>
          <w:lang w:val="en-US"/>
        </w:rPr>
        <w:t xml:space="preserve">Osmani, S., &amp; Tartari, D. (2024). The Impact of Digital Technology on Learning and Teaching: A Case Study of Schools in Durrës, Albania. </w:t>
      </w:r>
      <w:r w:rsidRPr="00E07CFE">
        <w:rPr>
          <w:rFonts w:eastAsiaTheme="minorHAnsi"/>
          <w:i/>
          <w:iCs/>
          <w:lang w:val="en-US"/>
        </w:rPr>
        <w:t>Journal of Educational and Social Research</w:t>
      </w:r>
      <w:r w:rsidRPr="00E07CFE">
        <w:rPr>
          <w:rFonts w:eastAsiaTheme="minorHAnsi"/>
          <w:lang w:val="en-US"/>
        </w:rPr>
        <w:t xml:space="preserve">, </w:t>
      </w:r>
      <w:r w:rsidRPr="00E07CFE">
        <w:rPr>
          <w:rFonts w:eastAsiaTheme="minorHAnsi"/>
          <w:i/>
          <w:iCs/>
          <w:lang w:val="en-US"/>
        </w:rPr>
        <w:t>14</w:t>
      </w:r>
      <w:r w:rsidRPr="00E07CFE">
        <w:rPr>
          <w:rFonts w:eastAsiaTheme="minorHAnsi"/>
          <w:lang w:val="en-US"/>
        </w:rPr>
        <w:t>(6), 193–193. https://doi.org/10.36941/jesr-2024-0165</w:t>
      </w:r>
    </w:p>
    <w:p w14:paraId="7A7AD1F6" w14:textId="77777777" w:rsidR="00E07CFE" w:rsidRPr="00E07CFE" w:rsidRDefault="00E07CFE" w:rsidP="00E07CFE">
      <w:pPr>
        <w:pStyle w:val="Bibliography"/>
        <w:rPr>
          <w:rFonts w:eastAsiaTheme="minorHAnsi"/>
          <w:lang w:val="en-US"/>
        </w:rPr>
      </w:pPr>
      <w:r w:rsidRPr="00E07CFE">
        <w:rPr>
          <w:rFonts w:eastAsiaTheme="minorHAnsi"/>
          <w:lang w:val="en-US"/>
        </w:rPr>
        <w:t xml:space="preserve">Rahayu, N. S., Dhiaullah, M. H., &amp; Marsha, A. (2023). Utilizing e-learning and user loyalty with user satisfaction as mediating variable in public sector context. </w:t>
      </w:r>
      <w:r w:rsidRPr="00E07CFE">
        <w:rPr>
          <w:rFonts w:eastAsiaTheme="minorHAnsi"/>
          <w:i/>
          <w:iCs/>
          <w:lang w:val="en-US"/>
        </w:rPr>
        <w:t>International Journal of Data and Network Science</w:t>
      </w:r>
      <w:r w:rsidRPr="00E07CFE">
        <w:rPr>
          <w:rFonts w:eastAsiaTheme="minorHAnsi"/>
          <w:lang w:val="en-US"/>
        </w:rPr>
        <w:t xml:space="preserve">, </w:t>
      </w:r>
      <w:r w:rsidRPr="00E07CFE">
        <w:rPr>
          <w:rFonts w:eastAsiaTheme="minorHAnsi"/>
          <w:i/>
          <w:iCs/>
          <w:lang w:val="en-US"/>
        </w:rPr>
        <w:t>7</w:t>
      </w:r>
      <w:r w:rsidRPr="00E07CFE">
        <w:rPr>
          <w:rFonts w:eastAsiaTheme="minorHAnsi"/>
          <w:lang w:val="en-US"/>
        </w:rPr>
        <w:t>(3), 1341–1348. https://doi.org/10.5267/j.ijdns.2023.4.004</w:t>
      </w:r>
    </w:p>
    <w:p w14:paraId="54D5D67B" w14:textId="77777777" w:rsidR="00E07CFE" w:rsidRPr="00E07CFE" w:rsidRDefault="00E07CFE" w:rsidP="00E07CFE">
      <w:pPr>
        <w:pStyle w:val="Bibliography"/>
        <w:rPr>
          <w:rFonts w:eastAsiaTheme="minorHAnsi"/>
          <w:lang w:val="en-US"/>
        </w:rPr>
      </w:pPr>
      <w:r w:rsidRPr="00E07CFE">
        <w:rPr>
          <w:rFonts w:eastAsiaTheme="minorHAnsi"/>
          <w:lang w:val="en-US"/>
        </w:rPr>
        <w:t xml:space="preserve">Reinita, R., Jannah, M., &amp; Sandika, F. A. (2023). The practices of digital comic media based on the PBL model in elementary school. </w:t>
      </w:r>
      <w:r w:rsidRPr="00E07CFE">
        <w:rPr>
          <w:rFonts w:eastAsiaTheme="minorHAnsi"/>
          <w:i/>
          <w:iCs/>
          <w:lang w:val="en-US"/>
        </w:rPr>
        <w:t>Jurnal Inovasi Teknologi Pendidikan</w:t>
      </w:r>
      <w:r w:rsidRPr="00E07CFE">
        <w:rPr>
          <w:rFonts w:eastAsiaTheme="minorHAnsi"/>
          <w:lang w:val="en-US"/>
        </w:rPr>
        <w:t xml:space="preserve">, </w:t>
      </w:r>
      <w:r w:rsidRPr="00E07CFE">
        <w:rPr>
          <w:rFonts w:eastAsiaTheme="minorHAnsi"/>
          <w:i/>
          <w:iCs/>
          <w:lang w:val="en-US"/>
        </w:rPr>
        <w:t>10</w:t>
      </w:r>
      <w:r w:rsidRPr="00E07CFE">
        <w:rPr>
          <w:rFonts w:eastAsiaTheme="minorHAnsi"/>
          <w:lang w:val="en-US"/>
        </w:rPr>
        <w:t>(2), 149–157. https://doi.org/10.21831/jitp.v10i2.58625</w:t>
      </w:r>
    </w:p>
    <w:p w14:paraId="2A922026" w14:textId="77777777" w:rsidR="00E07CFE" w:rsidRPr="00E07CFE" w:rsidRDefault="00E07CFE" w:rsidP="00E07CFE">
      <w:pPr>
        <w:pStyle w:val="Bibliography"/>
        <w:rPr>
          <w:rFonts w:eastAsiaTheme="minorHAnsi"/>
          <w:lang w:val="en-US"/>
        </w:rPr>
      </w:pPr>
      <w:r w:rsidRPr="00E07CFE">
        <w:rPr>
          <w:rFonts w:eastAsiaTheme="minorHAnsi"/>
          <w:lang w:val="en-US"/>
        </w:rPr>
        <w:t xml:space="preserve">Rina, N., Suminar, J. R., Damayani, N. A., &amp; Hafiar, H. (2020). Character Education Based </w:t>
      </w:r>
      <w:proofErr w:type="gramStart"/>
      <w:r w:rsidRPr="00E07CFE">
        <w:rPr>
          <w:rFonts w:eastAsiaTheme="minorHAnsi"/>
          <w:lang w:val="en-US"/>
        </w:rPr>
        <w:t>On</w:t>
      </w:r>
      <w:proofErr w:type="gramEnd"/>
      <w:r w:rsidRPr="00E07CFE">
        <w:rPr>
          <w:rFonts w:eastAsiaTheme="minorHAnsi"/>
          <w:lang w:val="en-US"/>
        </w:rPr>
        <w:t xml:space="preserve"> Digital Comic Media. </w:t>
      </w:r>
      <w:r w:rsidRPr="00E07CFE">
        <w:rPr>
          <w:rFonts w:eastAsiaTheme="minorHAnsi"/>
          <w:i/>
          <w:iCs/>
          <w:lang w:val="en-US"/>
        </w:rPr>
        <w:t>International Journal of Interactive Mobile Technologies (iJIM)</w:t>
      </w:r>
      <w:r w:rsidRPr="00E07CFE">
        <w:rPr>
          <w:rFonts w:eastAsiaTheme="minorHAnsi"/>
          <w:lang w:val="en-US"/>
        </w:rPr>
        <w:t xml:space="preserve">, </w:t>
      </w:r>
      <w:r w:rsidRPr="00E07CFE">
        <w:rPr>
          <w:rFonts w:eastAsiaTheme="minorHAnsi"/>
          <w:i/>
          <w:iCs/>
          <w:lang w:val="en-US"/>
        </w:rPr>
        <w:t>14</w:t>
      </w:r>
      <w:r w:rsidRPr="00E07CFE">
        <w:rPr>
          <w:rFonts w:eastAsiaTheme="minorHAnsi"/>
          <w:lang w:val="en-US"/>
        </w:rPr>
        <w:t>(3), 107–107. https://doi.org/10.3991/ijim.v14i03.12111</w:t>
      </w:r>
    </w:p>
    <w:p w14:paraId="42E8281F" w14:textId="77777777" w:rsidR="00E07CFE" w:rsidRPr="00E07CFE" w:rsidRDefault="00E07CFE" w:rsidP="00E07CFE">
      <w:pPr>
        <w:pStyle w:val="Bibliography"/>
        <w:rPr>
          <w:rFonts w:eastAsiaTheme="minorHAnsi"/>
          <w:lang w:val="en-US"/>
        </w:rPr>
      </w:pPr>
      <w:r w:rsidRPr="00E07CFE">
        <w:rPr>
          <w:rFonts w:eastAsiaTheme="minorHAnsi"/>
          <w:lang w:val="en-US"/>
        </w:rPr>
        <w:lastRenderedPageBreak/>
        <w:t xml:space="preserve">Rizkiyah, R., Nurkholis, N., &amp; Setiana, D. (2025). The Effect of Using Digital Comics on Science Learning Outcomes of Grade VI SDN 1 Japurabakti. </w:t>
      </w:r>
      <w:r w:rsidRPr="00E07CFE">
        <w:rPr>
          <w:rFonts w:eastAsiaTheme="minorHAnsi"/>
          <w:i/>
          <w:iCs/>
          <w:lang w:val="en-US"/>
        </w:rPr>
        <w:t>JURNAL ILMIAH GLOBAL EDUCATION</w:t>
      </w:r>
      <w:r w:rsidRPr="00E07CFE">
        <w:rPr>
          <w:rFonts w:eastAsiaTheme="minorHAnsi"/>
          <w:lang w:val="en-US"/>
        </w:rPr>
        <w:t xml:space="preserve">, </w:t>
      </w:r>
      <w:r w:rsidRPr="00E07CFE">
        <w:rPr>
          <w:rFonts w:eastAsiaTheme="minorHAnsi"/>
          <w:i/>
          <w:iCs/>
          <w:lang w:val="en-US"/>
        </w:rPr>
        <w:t>6</w:t>
      </w:r>
      <w:r w:rsidRPr="00E07CFE">
        <w:rPr>
          <w:rFonts w:eastAsiaTheme="minorHAnsi"/>
          <w:lang w:val="en-US"/>
        </w:rPr>
        <w:t>(4), 2370–2384. https://doi.org/10.55681/jige.v6i4.4471</w:t>
      </w:r>
    </w:p>
    <w:p w14:paraId="5F5810B1" w14:textId="77777777" w:rsidR="00E07CFE" w:rsidRPr="00E07CFE" w:rsidRDefault="00E07CFE" w:rsidP="00E07CFE">
      <w:pPr>
        <w:pStyle w:val="Bibliography"/>
        <w:rPr>
          <w:rFonts w:eastAsiaTheme="minorHAnsi"/>
          <w:lang w:val="en-US"/>
        </w:rPr>
      </w:pPr>
      <w:r w:rsidRPr="00E07CFE">
        <w:rPr>
          <w:rFonts w:eastAsiaTheme="minorHAnsi"/>
          <w:lang w:val="en-US"/>
        </w:rPr>
        <w:t xml:space="preserve">Roberts, C. (2020). The implications of noncompliance for randomized trials with partial nesting due to group treatment. </w:t>
      </w:r>
      <w:r w:rsidRPr="00E07CFE">
        <w:rPr>
          <w:rFonts w:eastAsiaTheme="minorHAnsi"/>
          <w:i/>
          <w:iCs/>
          <w:lang w:val="en-US"/>
        </w:rPr>
        <w:t>Statistics in Medicine</w:t>
      </w:r>
      <w:r w:rsidRPr="00E07CFE">
        <w:rPr>
          <w:rFonts w:eastAsiaTheme="minorHAnsi"/>
          <w:lang w:val="en-US"/>
        </w:rPr>
        <w:t xml:space="preserve">, </w:t>
      </w:r>
      <w:r w:rsidRPr="00E07CFE">
        <w:rPr>
          <w:rFonts w:eastAsiaTheme="minorHAnsi"/>
          <w:i/>
          <w:iCs/>
          <w:lang w:val="en-US"/>
        </w:rPr>
        <w:t>40</w:t>
      </w:r>
      <w:r w:rsidRPr="00E07CFE">
        <w:rPr>
          <w:rFonts w:eastAsiaTheme="minorHAnsi"/>
          <w:lang w:val="en-US"/>
        </w:rPr>
        <w:t>(2), 349–368. (33118193). https://doi.org/10.1002/sim.8778</w:t>
      </w:r>
    </w:p>
    <w:p w14:paraId="50853190" w14:textId="77777777" w:rsidR="00E07CFE" w:rsidRPr="00E07CFE" w:rsidRDefault="00E07CFE" w:rsidP="00E07CFE">
      <w:pPr>
        <w:pStyle w:val="Bibliography"/>
        <w:rPr>
          <w:rFonts w:eastAsiaTheme="minorHAnsi"/>
          <w:lang w:val="en-US"/>
        </w:rPr>
      </w:pPr>
      <w:r w:rsidRPr="00E07CFE">
        <w:rPr>
          <w:rFonts w:eastAsiaTheme="minorHAnsi"/>
          <w:lang w:val="en-US"/>
        </w:rPr>
        <w:t xml:space="preserve">Rutta, C. B., Schiavo, G., Zancanaro, M., &amp; Rubegni, E. (2021). Comic-based Digital Storytelling for Content and Language Integrated Learning. </w:t>
      </w:r>
      <w:r w:rsidRPr="00E07CFE">
        <w:rPr>
          <w:rFonts w:eastAsiaTheme="minorHAnsi"/>
          <w:i/>
          <w:iCs/>
          <w:lang w:val="en-US"/>
        </w:rPr>
        <w:t>Educational Media International</w:t>
      </w:r>
      <w:r w:rsidRPr="00E07CFE">
        <w:rPr>
          <w:rFonts w:eastAsiaTheme="minorHAnsi"/>
          <w:lang w:val="en-US"/>
        </w:rPr>
        <w:t xml:space="preserve">, </w:t>
      </w:r>
      <w:r w:rsidRPr="00E07CFE">
        <w:rPr>
          <w:rFonts w:eastAsiaTheme="minorHAnsi"/>
          <w:i/>
          <w:iCs/>
          <w:lang w:val="en-US"/>
        </w:rPr>
        <w:t>58</w:t>
      </w:r>
      <w:r w:rsidRPr="00E07CFE">
        <w:rPr>
          <w:rFonts w:eastAsiaTheme="minorHAnsi"/>
          <w:lang w:val="en-US"/>
        </w:rPr>
        <w:t>(1), 21–36. https://doi.org/10.1080/09523987.2021.1908499</w:t>
      </w:r>
    </w:p>
    <w:p w14:paraId="20CB444C" w14:textId="77777777" w:rsidR="00E07CFE" w:rsidRPr="00E07CFE" w:rsidRDefault="00E07CFE" w:rsidP="00E07CFE">
      <w:pPr>
        <w:pStyle w:val="Bibliography"/>
        <w:rPr>
          <w:rFonts w:eastAsiaTheme="minorHAnsi"/>
          <w:lang w:val="en-US"/>
        </w:rPr>
      </w:pPr>
      <w:r w:rsidRPr="00E07CFE">
        <w:rPr>
          <w:rFonts w:eastAsiaTheme="minorHAnsi"/>
          <w:lang w:val="en-US"/>
        </w:rPr>
        <w:t xml:space="preserve">Sairmaly, F. A. (2023). Human Capital Development and Economic Growth: A Literature Review on Information Technology Investment, Education, Skills, and Productive Labour. </w:t>
      </w:r>
      <w:r w:rsidRPr="00E07CFE">
        <w:rPr>
          <w:rFonts w:eastAsiaTheme="minorHAnsi"/>
          <w:i/>
          <w:iCs/>
          <w:lang w:val="en-US"/>
        </w:rPr>
        <w:t>Jurnal Minfo Polgan</w:t>
      </w:r>
      <w:r w:rsidRPr="00E07CFE">
        <w:rPr>
          <w:rFonts w:eastAsiaTheme="minorHAnsi"/>
          <w:lang w:val="en-US"/>
        </w:rPr>
        <w:t xml:space="preserve">, </w:t>
      </w:r>
      <w:r w:rsidRPr="00E07CFE">
        <w:rPr>
          <w:rFonts w:eastAsiaTheme="minorHAnsi"/>
          <w:i/>
          <w:iCs/>
          <w:lang w:val="en-US"/>
        </w:rPr>
        <w:t>12</w:t>
      </w:r>
      <w:r w:rsidRPr="00E07CFE">
        <w:rPr>
          <w:rFonts w:eastAsiaTheme="minorHAnsi"/>
          <w:lang w:val="en-US"/>
        </w:rPr>
        <w:t>(1), 679–693. https://doi.org/10.33395/jmp.v12i1.12491</w:t>
      </w:r>
    </w:p>
    <w:p w14:paraId="3107C910" w14:textId="77777777" w:rsidR="00E07CFE" w:rsidRPr="00E07CFE" w:rsidRDefault="00E07CFE" w:rsidP="00E07CFE">
      <w:pPr>
        <w:pStyle w:val="Bibliography"/>
        <w:rPr>
          <w:rFonts w:eastAsiaTheme="minorHAnsi"/>
          <w:lang w:val="en-US"/>
        </w:rPr>
      </w:pPr>
      <w:r w:rsidRPr="00E07CFE">
        <w:rPr>
          <w:rFonts w:eastAsiaTheme="minorHAnsi"/>
          <w:lang w:val="en-US"/>
        </w:rPr>
        <w:t xml:space="preserve">Sarris, K. (2025). </w:t>
      </w:r>
      <w:r w:rsidRPr="00E07CFE">
        <w:rPr>
          <w:rFonts w:eastAsiaTheme="minorHAnsi"/>
          <w:i/>
          <w:iCs/>
          <w:lang w:val="en-US"/>
        </w:rPr>
        <w:t>Beyond the Panels: Comics as Tools for Learning</w:t>
      </w:r>
      <w:r w:rsidRPr="00E07CFE">
        <w:rPr>
          <w:rFonts w:eastAsiaTheme="minorHAnsi"/>
          <w:lang w:val="en-US"/>
        </w:rPr>
        <w:t>. https://doi.org/10.31219/osf.io/vycbu</w:t>
      </w:r>
    </w:p>
    <w:p w14:paraId="12B94029" w14:textId="77777777" w:rsidR="00E07CFE" w:rsidRPr="00E07CFE" w:rsidRDefault="00E07CFE" w:rsidP="00E07CFE">
      <w:pPr>
        <w:pStyle w:val="Bibliography"/>
        <w:rPr>
          <w:rFonts w:eastAsiaTheme="minorHAnsi"/>
          <w:lang w:val="en-US"/>
        </w:rPr>
      </w:pPr>
      <w:r w:rsidRPr="00E07CFE">
        <w:rPr>
          <w:rFonts w:eastAsiaTheme="minorHAnsi"/>
          <w:lang w:val="en-US"/>
        </w:rPr>
        <w:t xml:space="preserve">Suryatin, S., &amp; Sugiman, S. (2019). Comic book for improving the elementary school students’ mathematical </w:t>
      </w:r>
      <w:proofErr w:type="gramStart"/>
      <w:r w:rsidRPr="00E07CFE">
        <w:rPr>
          <w:rFonts w:eastAsiaTheme="minorHAnsi"/>
          <w:lang w:val="en-US"/>
        </w:rPr>
        <w:t>problem solving</w:t>
      </w:r>
      <w:proofErr w:type="gramEnd"/>
      <w:r w:rsidRPr="00E07CFE">
        <w:rPr>
          <w:rFonts w:eastAsiaTheme="minorHAnsi"/>
          <w:lang w:val="en-US"/>
        </w:rPr>
        <w:t xml:space="preserve"> skills and self-confidence. </w:t>
      </w:r>
      <w:r w:rsidRPr="00E07CFE">
        <w:rPr>
          <w:rFonts w:eastAsiaTheme="minorHAnsi"/>
          <w:i/>
          <w:iCs/>
          <w:lang w:val="en-US"/>
        </w:rPr>
        <w:t>Jurnal Prima Edukasia</w:t>
      </w:r>
      <w:r w:rsidRPr="00E07CFE">
        <w:rPr>
          <w:rFonts w:eastAsiaTheme="minorHAnsi"/>
          <w:lang w:val="en-US"/>
        </w:rPr>
        <w:t xml:space="preserve">, </w:t>
      </w:r>
      <w:r w:rsidRPr="00E07CFE">
        <w:rPr>
          <w:rFonts w:eastAsiaTheme="minorHAnsi"/>
          <w:i/>
          <w:iCs/>
          <w:lang w:val="en-US"/>
        </w:rPr>
        <w:t>7</w:t>
      </w:r>
      <w:r w:rsidRPr="00E07CFE">
        <w:rPr>
          <w:rFonts w:eastAsiaTheme="minorHAnsi"/>
          <w:lang w:val="en-US"/>
        </w:rPr>
        <w:t>(1), 58–72. https://doi.org/10.21831/jpe.v7i1.10747</w:t>
      </w:r>
    </w:p>
    <w:p w14:paraId="67DF1419" w14:textId="77777777" w:rsidR="00E07CFE" w:rsidRPr="00E07CFE" w:rsidRDefault="00E07CFE" w:rsidP="00E07CFE">
      <w:pPr>
        <w:pStyle w:val="Bibliography"/>
        <w:rPr>
          <w:rFonts w:eastAsiaTheme="minorHAnsi"/>
          <w:lang w:val="en-US"/>
        </w:rPr>
      </w:pPr>
      <w:r w:rsidRPr="00E07CFE">
        <w:rPr>
          <w:rFonts w:eastAsiaTheme="minorHAnsi"/>
          <w:lang w:val="en-US"/>
        </w:rPr>
        <w:t xml:space="preserve">Yadav, S. (2024). Enhancing Digital Competencies of Teachers. In </w:t>
      </w:r>
      <w:r w:rsidRPr="00E07CFE">
        <w:rPr>
          <w:rFonts w:eastAsiaTheme="minorHAnsi"/>
          <w:i/>
          <w:iCs/>
          <w:lang w:val="en-US"/>
        </w:rPr>
        <w:t>Advances in educational marketing, administration, and leadership book series</w:t>
      </w:r>
      <w:r w:rsidRPr="00E07CFE">
        <w:rPr>
          <w:rFonts w:eastAsiaTheme="minorHAnsi"/>
          <w:lang w:val="en-US"/>
        </w:rPr>
        <w:t xml:space="preserve"> (pp. 109–134). IGI Global. https://doi.org/10.4018/979-8-3373-1692-5.ch005</w:t>
      </w:r>
    </w:p>
    <w:p w14:paraId="257064A9" w14:textId="7412ED8D" w:rsidR="003A1404" w:rsidRDefault="00BA5981" w:rsidP="00E07CFE">
      <w:pPr>
        <w:pStyle w:val="Bibliography"/>
      </w:pPr>
      <w:r>
        <w:fldChar w:fldCharType="end"/>
      </w:r>
    </w:p>
    <w:p w14:paraId="185C6A08" w14:textId="77777777" w:rsidR="003A1404" w:rsidRDefault="003A1404" w:rsidP="00902A28">
      <w:pPr>
        <w:pStyle w:val="NormalWeb"/>
      </w:pPr>
    </w:p>
    <w:p w14:paraId="74B90F86" w14:textId="77777777" w:rsidR="0020699B" w:rsidRDefault="0020699B"/>
    <w:sectPr w:rsidR="002069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9B"/>
    <w:rsid w:val="00002602"/>
    <w:rsid w:val="00007922"/>
    <w:rsid w:val="00014B3C"/>
    <w:rsid w:val="000249F4"/>
    <w:rsid w:val="00033D12"/>
    <w:rsid w:val="0004333D"/>
    <w:rsid w:val="00046788"/>
    <w:rsid w:val="000611BC"/>
    <w:rsid w:val="00062A87"/>
    <w:rsid w:val="000634D8"/>
    <w:rsid w:val="0007275E"/>
    <w:rsid w:val="0008487D"/>
    <w:rsid w:val="000A4E90"/>
    <w:rsid w:val="000A6939"/>
    <w:rsid w:val="000D264B"/>
    <w:rsid w:val="000D6EB0"/>
    <w:rsid w:val="0011622D"/>
    <w:rsid w:val="00127378"/>
    <w:rsid w:val="00150FDA"/>
    <w:rsid w:val="0016274D"/>
    <w:rsid w:val="00172D6A"/>
    <w:rsid w:val="00173826"/>
    <w:rsid w:val="0018329E"/>
    <w:rsid w:val="00196640"/>
    <w:rsid w:val="00200C54"/>
    <w:rsid w:val="0020699B"/>
    <w:rsid w:val="00231F88"/>
    <w:rsid w:val="00233208"/>
    <w:rsid w:val="00244FDB"/>
    <w:rsid w:val="0026146D"/>
    <w:rsid w:val="00291426"/>
    <w:rsid w:val="002A45BC"/>
    <w:rsid w:val="002B08DB"/>
    <w:rsid w:val="002B53CD"/>
    <w:rsid w:val="002B609E"/>
    <w:rsid w:val="002B67A1"/>
    <w:rsid w:val="002D7BC2"/>
    <w:rsid w:val="002E30A2"/>
    <w:rsid w:val="002E4F42"/>
    <w:rsid w:val="002E5AD2"/>
    <w:rsid w:val="002E66AB"/>
    <w:rsid w:val="002E6DB3"/>
    <w:rsid w:val="00321DA1"/>
    <w:rsid w:val="00327286"/>
    <w:rsid w:val="00330FBB"/>
    <w:rsid w:val="00331D5B"/>
    <w:rsid w:val="003466B4"/>
    <w:rsid w:val="00351DC4"/>
    <w:rsid w:val="00353555"/>
    <w:rsid w:val="003551EB"/>
    <w:rsid w:val="00376C0C"/>
    <w:rsid w:val="003857FB"/>
    <w:rsid w:val="003A1404"/>
    <w:rsid w:val="003A6FD1"/>
    <w:rsid w:val="003B06D9"/>
    <w:rsid w:val="003C3E84"/>
    <w:rsid w:val="003C47FF"/>
    <w:rsid w:val="003C4B4E"/>
    <w:rsid w:val="003C4ED1"/>
    <w:rsid w:val="003D095F"/>
    <w:rsid w:val="003D6659"/>
    <w:rsid w:val="003F07A3"/>
    <w:rsid w:val="003F18DB"/>
    <w:rsid w:val="003F6BE2"/>
    <w:rsid w:val="00401784"/>
    <w:rsid w:val="00420DDF"/>
    <w:rsid w:val="0042242E"/>
    <w:rsid w:val="00423D9C"/>
    <w:rsid w:val="0043014A"/>
    <w:rsid w:val="00432508"/>
    <w:rsid w:val="00433151"/>
    <w:rsid w:val="00436C79"/>
    <w:rsid w:val="004515B8"/>
    <w:rsid w:val="004524B4"/>
    <w:rsid w:val="00475A67"/>
    <w:rsid w:val="0048174B"/>
    <w:rsid w:val="00481A76"/>
    <w:rsid w:val="00483886"/>
    <w:rsid w:val="00496FF5"/>
    <w:rsid w:val="004D3E60"/>
    <w:rsid w:val="004F70BC"/>
    <w:rsid w:val="005005FA"/>
    <w:rsid w:val="00501986"/>
    <w:rsid w:val="005130B3"/>
    <w:rsid w:val="00551172"/>
    <w:rsid w:val="00557FC6"/>
    <w:rsid w:val="00575CC1"/>
    <w:rsid w:val="00577E0F"/>
    <w:rsid w:val="005A2131"/>
    <w:rsid w:val="005D7DD7"/>
    <w:rsid w:val="005E113D"/>
    <w:rsid w:val="005E2E48"/>
    <w:rsid w:val="005E529C"/>
    <w:rsid w:val="005F1F2F"/>
    <w:rsid w:val="006041B0"/>
    <w:rsid w:val="00604B14"/>
    <w:rsid w:val="00606EE5"/>
    <w:rsid w:val="00607CA2"/>
    <w:rsid w:val="00621BEF"/>
    <w:rsid w:val="006264A4"/>
    <w:rsid w:val="006369B1"/>
    <w:rsid w:val="00642F14"/>
    <w:rsid w:val="00646888"/>
    <w:rsid w:val="00672228"/>
    <w:rsid w:val="00677A4B"/>
    <w:rsid w:val="00686F99"/>
    <w:rsid w:val="006A1491"/>
    <w:rsid w:val="006C3D2F"/>
    <w:rsid w:val="006D7AF0"/>
    <w:rsid w:val="00705109"/>
    <w:rsid w:val="00720472"/>
    <w:rsid w:val="007460F8"/>
    <w:rsid w:val="00753D27"/>
    <w:rsid w:val="007552A6"/>
    <w:rsid w:val="00766BB5"/>
    <w:rsid w:val="00770E5B"/>
    <w:rsid w:val="007956B3"/>
    <w:rsid w:val="007C6A50"/>
    <w:rsid w:val="007E3C9F"/>
    <w:rsid w:val="007F675D"/>
    <w:rsid w:val="008113FF"/>
    <w:rsid w:val="00812D4B"/>
    <w:rsid w:val="00814FD5"/>
    <w:rsid w:val="00815C0F"/>
    <w:rsid w:val="0083456C"/>
    <w:rsid w:val="00841331"/>
    <w:rsid w:val="0084718C"/>
    <w:rsid w:val="00847519"/>
    <w:rsid w:val="00851374"/>
    <w:rsid w:val="00857FD9"/>
    <w:rsid w:val="008633DF"/>
    <w:rsid w:val="008753B9"/>
    <w:rsid w:val="008D03CA"/>
    <w:rsid w:val="008D390A"/>
    <w:rsid w:val="008E0885"/>
    <w:rsid w:val="008F72EE"/>
    <w:rsid w:val="00902A28"/>
    <w:rsid w:val="00902B30"/>
    <w:rsid w:val="00927CF5"/>
    <w:rsid w:val="00945D6C"/>
    <w:rsid w:val="009530B9"/>
    <w:rsid w:val="00967B2C"/>
    <w:rsid w:val="00976CD0"/>
    <w:rsid w:val="00981D10"/>
    <w:rsid w:val="00983F94"/>
    <w:rsid w:val="00986A54"/>
    <w:rsid w:val="009874C1"/>
    <w:rsid w:val="00995EBB"/>
    <w:rsid w:val="009A7AE6"/>
    <w:rsid w:val="009B19E7"/>
    <w:rsid w:val="009B3790"/>
    <w:rsid w:val="009B51A9"/>
    <w:rsid w:val="009C58AD"/>
    <w:rsid w:val="009E25B0"/>
    <w:rsid w:val="009E68D5"/>
    <w:rsid w:val="00A006F0"/>
    <w:rsid w:val="00A078A6"/>
    <w:rsid w:val="00A11D0E"/>
    <w:rsid w:val="00A1413B"/>
    <w:rsid w:val="00A16D45"/>
    <w:rsid w:val="00A2277B"/>
    <w:rsid w:val="00A25B33"/>
    <w:rsid w:val="00A42478"/>
    <w:rsid w:val="00A45503"/>
    <w:rsid w:val="00A509E6"/>
    <w:rsid w:val="00A55DA9"/>
    <w:rsid w:val="00A57832"/>
    <w:rsid w:val="00A636AF"/>
    <w:rsid w:val="00A656D2"/>
    <w:rsid w:val="00A73A47"/>
    <w:rsid w:val="00AA73BD"/>
    <w:rsid w:val="00AB12F0"/>
    <w:rsid w:val="00AB3702"/>
    <w:rsid w:val="00AD546B"/>
    <w:rsid w:val="00AD6AD4"/>
    <w:rsid w:val="00B04C12"/>
    <w:rsid w:val="00B13D82"/>
    <w:rsid w:val="00B27763"/>
    <w:rsid w:val="00B462C2"/>
    <w:rsid w:val="00B5240E"/>
    <w:rsid w:val="00B55316"/>
    <w:rsid w:val="00B5736F"/>
    <w:rsid w:val="00B76009"/>
    <w:rsid w:val="00B83E00"/>
    <w:rsid w:val="00B84FF2"/>
    <w:rsid w:val="00B900DB"/>
    <w:rsid w:val="00B91196"/>
    <w:rsid w:val="00B954E6"/>
    <w:rsid w:val="00BA5981"/>
    <w:rsid w:val="00BB6060"/>
    <w:rsid w:val="00BD0B7D"/>
    <w:rsid w:val="00BE796E"/>
    <w:rsid w:val="00BF0078"/>
    <w:rsid w:val="00BF08B3"/>
    <w:rsid w:val="00BF3B1B"/>
    <w:rsid w:val="00C2203D"/>
    <w:rsid w:val="00C25446"/>
    <w:rsid w:val="00C34988"/>
    <w:rsid w:val="00C40747"/>
    <w:rsid w:val="00C4331A"/>
    <w:rsid w:val="00C44263"/>
    <w:rsid w:val="00C465E6"/>
    <w:rsid w:val="00C54916"/>
    <w:rsid w:val="00C655CF"/>
    <w:rsid w:val="00C72AE9"/>
    <w:rsid w:val="00C81758"/>
    <w:rsid w:val="00C81B26"/>
    <w:rsid w:val="00C8624C"/>
    <w:rsid w:val="00C91431"/>
    <w:rsid w:val="00CA6004"/>
    <w:rsid w:val="00CD469F"/>
    <w:rsid w:val="00CD6A06"/>
    <w:rsid w:val="00CE4B46"/>
    <w:rsid w:val="00CE6965"/>
    <w:rsid w:val="00CF26BE"/>
    <w:rsid w:val="00D3003C"/>
    <w:rsid w:val="00D32507"/>
    <w:rsid w:val="00D35219"/>
    <w:rsid w:val="00D35ADF"/>
    <w:rsid w:val="00D35F04"/>
    <w:rsid w:val="00D44A77"/>
    <w:rsid w:val="00D4573F"/>
    <w:rsid w:val="00D5256E"/>
    <w:rsid w:val="00D55650"/>
    <w:rsid w:val="00D5646D"/>
    <w:rsid w:val="00D579A3"/>
    <w:rsid w:val="00D60567"/>
    <w:rsid w:val="00D77DB2"/>
    <w:rsid w:val="00DC04BD"/>
    <w:rsid w:val="00DE2657"/>
    <w:rsid w:val="00DF15DF"/>
    <w:rsid w:val="00DF62E3"/>
    <w:rsid w:val="00E01CC1"/>
    <w:rsid w:val="00E07CFE"/>
    <w:rsid w:val="00E13564"/>
    <w:rsid w:val="00E165EF"/>
    <w:rsid w:val="00E2364A"/>
    <w:rsid w:val="00E316B9"/>
    <w:rsid w:val="00E3255D"/>
    <w:rsid w:val="00E558E7"/>
    <w:rsid w:val="00E602D1"/>
    <w:rsid w:val="00E82C4B"/>
    <w:rsid w:val="00E94BE3"/>
    <w:rsid w:val="00EB0542"/>
    <w:rsid w:val="00EB0744"/>
    <w:rsid w:val="00EB74AC"/>
    <w:rsid w:val="00EB7600"/>
    <w:rsid w:val="00EE15D4"/>
    <w:rsid w:val="00EE6DD4"/>
    <w:rsid w:val="00EF1C08"/>
    <w:rsid w:val="00EF7276"/>
    <w:rsid w:val="00F211AF"/>
    <w:rsid w:val="00F244B8"/>
    <w:rsid w:val="00F24C7F"/>
    <w:rsid w:val="00F30098"/>
    <w:rsid w:val="00F42BDA"/>
    <w:rsid w:val="00F577F7"/>
    <w:rsid w:val="00F60AA4"/>
    <w:rsid w:val="00F82953"/>
    <w:rsid w:val="00F90274"/>
    <w:rsid w:val="00FA08ED"/>
    <w:rsid w:val="00FA2662"/>
    <w:rsid w:val="00FB1A59"/>
    <w:rsid w:val="00FB7CB6"/>
    <w:rsid w:val="00FD2C5A"/>
    <w:rsid w:val="00FE0D6F"/>
    <w:rsid w:val="00FF34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4650E57C"/>
  <w15:chartTrackingRefBased/>
  <w15:docId w15:val="{46421AAE-7EF1-4C4C-A6CE-4A50BCC7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22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206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06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069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69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69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699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699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699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699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9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069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069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69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69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69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69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69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699B"/>
    <w:rPr>
      <w:rFonts w:eastAsiaTheme="majorEastAsia" w:cstheme="majorBidi"/>
      <w:color w:val="272727" w:themeColor="text1" w:themeTint="D8"/>
    </w:rPr>
  </w:style>
  <w:style w:type="paragraph" w:styleId="Title">
    <w:name w:val="Title"/>
    <w:basedOn w:val="Normal"/>
    <w:next w:val="Normal"/>
    <w:link w:val="TitleChar"/>
    <w:uiPriority w:val="10"/>
    <w:qFormat/>
    <w:rsid w:val="0020699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9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69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9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699B"/>
    <w:pPr>
      <w:spacing w:before="160"/>
      <w:jc w:val="center"/>
    </w:pPr>
    <w:rPr>
      <w:i/>
      <w:iCs/>
      <w:color w:val="404040" w:themeColor="text1" w:themeTint="BF"/>
    </w:rPr>
  </w:style>
  <w:style w:type="character" w:customStyle="1" w:styleId="QuoteChar">
    <w:name w:val="Quote Char"/>
    <w:basedOn w:val="DefaultParagraphFont"/>
    <w:link w:val="Quote"/>
    <w:uiPriority w:val="29"/>
    <w:rsid w:val="0020699B"/>
    <w:rPr>
      <w:i/>
      <w:iCs/>
      <w:color w:val="404040" w:themeColor="text1" w:themeTint="BF"/>
    </w:rPr>
  </w:style>
  <w:style w:type="paragraph" w:styleId="ListParagraph">
    <w:name w:val="List Paragraph"/>
    <w:basedOn w:val="Normal"/>
    <w:uiPriority w:val="34"/>
    <w:qFormat/>
    <w:rsid w:val="0020699B"/>
    <w:pPr>
      <w:ind w:left="720"/>
      <w:contextualSpacing/>
    </w:pPr>
  </w:style>
  <w:style w:type="character" w:styleId="IntenseEmphasis">
    <w:name w:val="Intense Emphasis"/>
    <w:basedOn w:val="DefaultParagraphFont"/>
    <w:uiPriority w:val="21"/>
    <w:qFormat/>
    <w:rsid w:val="0020699B"/>
    <w:rPr>
      <w:i/>
      <w:iCs/>
      <w:color w:val="0F4761" w:themeColor="accent1" w:themeShade="BF"/>
    </w:rPr>
  </w:style>
  <w:style w:type="paragraph" w:styleId="IntenseQuote">
    <w:name w:val="Intense Quote"/>
    <w:basedOn w:val="Normal"/>
    <w:next w:val="Normal"/>
    <w:link w:val="IntenseQuoteChar"/>
    <w:uiPriority w:val="30"/>
    <w:qFormat/>
    <w:rsid w:val="00206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699B"/>
    <w:rPr>
      <w:i/>
      <w:iCs/>
      <w:color w:val="0F4761" w:themeColor="accent1" w:themeShade="BF"/>
    </w:rPr>
  </w:style>
  <w:style w:type="character" w:styleId="IntenseReference">
    <w:name w:val="Intense Reference"/>
    <w:basedOn w:val="DefaultParagraphFont"/>
    <w:uiPriority w:val="32"/>
    <w:qFormat/>
    <w:rsid w:val="0020699B"/>
    <w:rPr>
      <w:b/>
      <w:bCs/>
      <w:smallCaps/>
      <w:color w:val="0F4761" w:themeColor="accent1" w:themeShade="BF"/>
      <w:spacing w:val="5"/>
    </w:rPr>
  </w:style>
  <w:style w:type="paragraph" w:styleId="NormalWeb">
    <w:name w:val="Normal (Web)"/>
    <w:basedOn w:val="Normal"/>
    <w:uiPriority w:val="99"/>
    <w:unhideWhenUsed/>
    <w:rsid w:val="0020699B"/>
    <w:pPr>
      <w:spacing w:before="100" w:beforeAutospacing="1" w:after="100" w:afterAutospacing="1"/>
    </w:pPr>
  </w:style>
  <w:style w:type="character" w:styleId="Hyperlink">
    <w:name w:val="Hyperlink"/>
    <w:basedOn w:val="DefaultParagraphFont"/>
    <w:uiPriority w:val="99"/>
    <w:semiHidden/>
    <w:unhideWhenUsed/>
    <w:rsid w:val="003A1404"/>
    <w:rPr>
      <w:color w:val="0000FF"/>
      <w:u w:val="single"/>
    </w:rPr>
  </w:style>
  <w:style w:type="character" w:styleId="FollowedHyperlink">
    <w:name w:val="FollowedHyperlink"/>
    <w:basedOn w:val="DefaultParagraphFont"/>
    <w:uiPriority w:val="99"/>
    <w:semiHidden/>
    <w:unhideWhenUsed/>
    <w:rsid w:val="003A1404"/>
    <w:rPr>
      <w:color w:val="96607D" w:themeColor="followedHyperlink"/>
      <w:u w:val="single"/>
    </w:rPr>
  </w:style>
  <w:style w:type="paragraph" w:styleId="Bibliography">
    <w:name w:val="Bibliography"/>
    <w:basedOn w:val="Normal"/>
    <w:next w:val="Normal"/>
    <w:uiPriority w:val="37"/>
    <w:unhideWhenUsed/>
    <w:rsid w:val="00DE2657"/>
    <w:pPr>
      <w:spacing w:line="480" w:lineRule="auto"/>
      <w:ind w:left="720" w:hanging="720"/>
    </w:pPr>
  </w:style>
  <w:style w:type="character" w:styleId="Emphasis">
    <w:name w:val="Emphasis"/>
    <w:basedOn w:val="DefaultParagraphFont"/>
    <w:uiPriority w:val="20"/>
    <w:qFormat/>
    <w:rsid w:val="00321DA1"/>
    <w:rPr>
      <w:i/>
      <w:iCs/>
    </w:rPr>
  </w:style>
  <w:style w:type="character" w:styleId="HTMLCode">
    <w:name w:val="HTML Code"/>
    <w:basedOn w:val="DefaultParagraphFont"/>
    <w:uiPriority w:val="99"/>
    <w:semiHidden/>
    <w:unhideWhenUsed/>
    <w:rsid w:val="00B55316"/>
    <w:rPr>
      <w:rFonts w:ascii="Courier New" w:eastAsia="Times New Roman" w:hAnsi="Courier New" w:cs="Courier New"/>
      <w:sz w:val="20"/>
      <w:szCs w:val="20"/>
    </w:rPr>
  </w:style>
  <w:style w:type="character" w:styleId="Strong">
    <w:name w:val="Strong"/>
    <w:basedOn w:val="DefaultParagraphFont"/>
    <w:uiPriority w:val="22"/>
    <w:qFormat/>
    <w:rsid w:val="00677A4B"/>
    <w:rPr>
      <w:b/>
      <w:bCs/>
    </w:rPr>
  </w:style>
  <w:style w:type="character" w:customStyle="1" w:styleId="citation-7">
    <w:name w:val="citation-7"/>
    <w:basedOn w:val="DefaultParagraphFont"/>
    <w:rsid w:val="000249F4"/>
  </w:style>
  <w:style w:type="character" w:customStyle="1" w:styleId="citation-6">
    <w:name w:val="citation-6"/>
    <w:basedOn w:val="DefaultParagraphFont"/>
    <w:rsid w:val="00024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16</Pages>
  <Words>16355</Words>
  <Characters>93230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c10120</dc:creator>
  <cp:keywords/>
  <dc:description/>
  <cp:lastModifiedBy>c10120</cp:lastModifiedBy>
  <cp:revision>247</cp:revision>
  <dcterms:created xsi:type="dcterms:W3CDTF">2026-04-10T04:23:00Z</dcterms:created>
  <dcterms:modified xsi:type="dcterms:W3CDTF">2026-05-12T09:08:00Z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zotero-version="9.0.2"&gt;&lt;session id="O4UYhYrx"/&gt;&lt;style id="http://www.zotero.org/styles/apa" locale="en-US" hasBibliography="1" bibliographyStyleHasBeenSet="1"/&gt;&lt;prefs&gt;&lt;pref name="fieldType" value="Field"/&gt;&lt;/prefs&gt;&lt;/data&gt;</vt:lpwstr>
  </property>
</Properties>
</file>